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49F11" w14:textId="77777777" w:rsidR="0012388D" w:rsidRDefault="003A7B84" w:rsidP="003225EA">
      <w:pPr>
        <w:widowControl/>
        <w:rPr>
          <w:rFonts w:cs="Arial"/>
        </w:rPr>
      </w:pPr>
      <w:r>
        <w:rPr>
          <w:rFonts w:cs="Arial"/>
          <w:noProof/>
          <w:lang w:eastAsia="en-GB" w:bidi="ar-SA"/>
        </w:rPr>
        <mc:AlternateContent>
          <mc:Choice Requires="wps">
            <w:drawing>
              <wp:anchor distT="0" distB="0" distL="114300" distR="114300" simplePos="0" relativeHeight="251658240" behindDoc="0" locked="0" layoutInCell="1" allowOverlap="1" wp14:anchorId="2BCB6B7D" wp14:editId="3E1BDCA4">
                <wp:simplePos x="0" y="0"/>
                <wp:positionH relativeFrom="column">
                  <wp:posOffset>3857625</wp:posOffset>
                </wp:positionH>
                <wp:positionV relativeFrom="paragraph">
                  <wp:posOffset>9525</wp:posOffset>
                </wp:positionV>
                <wp:extent cx="18288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noFill/>
                          <a:miter lim="800000"/>
                          <a:headEnd/>
                          <a:tailEnd/>
                        </a:ln>
                      </wps:spPr>
                      <wps:txbx>
                        <w:txbxContent>
                          <w:p w14:paraId="1658E2C2" w14:textId="5E5C9E94" w:rsidR="000D04BF" w:rsidRPr="00CC3764" w:rsidRDefault="000D04BF" w:rsidP="003A7B84">
                            <w:pPr>
                              <w:ind w:left="567" w:firstLine="567"/>
                              <w:jc w:val="right"/>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BCB6B7D" id="_x0000_t202" coordsize="21600,21600" o:spt="202" path="m,l,21600r21600,l21600,xe">
                <v:stroke joinstyle="miter"/>
                <v:path gradientshapeok="t" o:connecttype="rect"/>
              </v:shapetype>
              <v:shape id="Text Box 2" o:spid="_x0000_s1026" type="#_x0000_t202" style="position:absolute;margin-left:303.75pt;margin-top:.75pt;width:2in;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" stroked="f">
                <v:textbox>
                  <w:txbxContent>
                    <w:p w14:paraId="1658E2C2" w14:textId="5E5C9E94" w:rsidR="000D04BF" w:rsidRPr="00CC3764" w:rsidRDefault="000D04BF" w:rsidP="003A7B84">
                      <w:pPr>
                        <w:ind w:left="567" w:firstLine="567"/>
                        <w:jc w:val="right"/>
                        <w:rPr>
                          <w:rFonts w:cs="Arial"/>
                        </w:rPr>
                      </w:pPr>
                    </w:p>
                  </w:txbxContent>
                </v:textbox>
              </v:shape>
            </w:pict>
          </mc:Fallback>
        </mc:AlternateContent>
      </w:r>
      <w:r w:rsidR="00772BDC">
        <w:rPr>
          <w:rFonts w:cs="Arial"/>
          <w:noProof/>
          <w:lang w:eastAsia="en-GB" w:bidi="ar-SA"/>
        </w:rPr>
        <w:drawing>
          <wp:inline distT="0" distB="0" distL="0" distR="0" wp14:anchorId="07DCF589" wp14:editId="42C43175">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33072A4A" w14:textId="77777777" w:rsidR="00A671E6" w:rsidRPr="00837062" w:rsidRDefault="00A671E6" w:rsidP="003225EA">
      <w:pPr>
        <w:widowControl/>
      </w:pPr>
    </w:p>
    <w:p w14:paraId="2F8BEEEE" w14:textId="77777777" w:rsidR="00837062" w:rsidRPr="00837062" w:rsidRDefault="00837062" w:rsidP="00837062">
      <w:pPr>
        <w:tabs>
          <w:tab w:val="left" w:pos="851"/>
        </w:tabs>
        <w:rPr>
          <w:b/>
          <w:sz w:val="28"/>
          <w:szCs w:val="28"/>
        </w:rPr>
      </w:pPr>
      <w:r w:rsidRPr="00837062">
        <w:rPr>
          <w:b/>
          <w:sz w:val="28"/>
          <w:szCs w:val="28"/>
        </w:rPr>
        <w:t>23 March 2017</w:t>
      </w:r>
    </w:p>
    <w:p w14:paraId="2659E985" w14:textId="77777777" w:rsidR="00837062" w:rsidRPr="00837062" w:rsidRDefault="00837062" w:rsidP="00837062">
      <w:pPr>
        <w:rPr>
          <w:b/>
          <w:sz w:val="28"/>
          <w:szCs w:val="28"/>
        </w:rPr>
      </w:pPr>
      <w:r w:rsidRPr="00837062">
        <w:rPr>
          <w:b/>
          <w:sz w:val="28"/>
          <w:szCs w:val="28"/>
        </w:rPr>
        <w:t>[08–17]</w:t>
      </w:r>
    </w:p>
    <w:p w14:paraId="23B97C21" w14:textId="77777777" w:rsidR="00A671E6" w:rsidRPr="00837062" w:rsidRDefault="00A671E6" w:rsidP="003225EA">
      <w:pPr>
        <w:widowControl/>
      </w:pPr>
    </w:p>
    <w:p w14:paraId="1DDBB43D" w14:textId="35E6BDC7" w:rsidR="0012388D" w:rsidRPr="000B427A" w:rsidRDefault="00B425AA" w:rsidP="003225EA">
      <w:pPr>
        <w:pStyle w:val="FSTitle"/>
        <w:widowControl/>
      </w:pPr>
      <w:r w:rsidRPr="00CA5734">
        <w:t>A</w:t>
      </w:r>
      <w:r w:rsidR="00DD265C">
        <w:t>pproval</w:t>
      </w:r>
      <w:r w:rsidRPr="00CA5734">
        <w:t xml:space="preserve"> </w:t>
      </w:r>
      <w:r w:rsidR="00B77C18">
        <w:t>r</w:t>
      </w:r>
      <w:r w:rsidR="00DD265C" w:rsidRPr="00CA5734">
        <w:t>eport</w:t>
      </w:r>
      <w:r w:rsidRPr="000B427A">
        <w:t xml:space="preserve"> – </w:t>
      </w:r>
      <w:r w:rsidR="00E81B94">
        <w:t xml:space="preserve">A1124 </w:t>
      </w:r>
    </w:p>
    <w:p w14:paraId="018941D6" w14:textId="7E30206D" w:rsidR="00BE4EA8" w:rsidRPr="00BE4EA8" w:rsidRDefault="00BE4EA8" w:rsidP="003225EA">
      <w:pPr>
        <w:widowControl/>
        <w:autoSpaceDE w:val="0"/>
        <w:autoSpaceDN w:val="0"/>
        <w:adjustRightInd w:val="0"/>
        <w:rPr>
          <w:rFonts w:cs="Arial"/>
          <w:color w:val="000000"/>
          <w:sz w:val="24"/>
          <w:lang w:eastAsia="en-GB" w:bidi="ar-SA"/>
        </w:rPr>
      </w:pPr>
    </w:p>
    <w:p w14:paraId="6139426D" w14:textId="1BF6FE8C" w:rsidR="003A7B84" w:rsidRDefault="00BE4EA8" w:rsidP="003225EA">
      <w:pPr>
        <w:widowControl/>
        <w:pBdr>
          <w:bottom w:val="single" w:sz="12" w:space="1" w:color="auto"/>
        </w:pBdr>
        <w:tabs>
          <w:tab w:val="left" w:pos="1140"/>
        </w:tabs>
        <w:rPr>
          <w:rFonts w:cs="Arial"/>
          <w:color w:val="000000"/>
          <w:sz w:val="32"/>
          <w:szCs w:val="32"/>
          <w:lang w:eastAsia="en-GB" w:bidi="ar-SA"/>
        </w:rPr>
      </w:pPr>
      <w:r w:rsidRPr="00BE4EA8">
        <w:rPr>
          <w:rFonts w:cs="Arial"/>
          <w:color w:val="000000"/>
          <w:sz w:val="32"/>
          <w:szCs w:val="32"/>
          <w:lang w:eastAsia="en-GB" w:bidi="ar-SA"/>
        </w:rPr>
        <w:t>Alternative DHA-rich Algal Oil for Infant Formula Products</w:t>
      </w:r>
    </w:p>
    <w:p w14:paraId="2AD08124" w14:textId="77777777" w:rsidR="00BE4EA8" w:rsidRPr="00E327A6" w:rsidRDefault="00BE4EA8" w:rsidP="003225EA">
      <w:pPr>
        <w:widowControl/>
        <w:pBdr>
          <w:bottom w:val="single" w:sz="12" w:space="1" w:color="auto"/>
        </w:pBdr>
        <w:tabs>
          <w:tab w:val="left" w:pos="1140"/>
        </w:tabs>
        <w:rPr>
          <w:rFonts w:cs="Arial"/>
          <w:bCs/>
        </w:rPr>
      </w:pPr>
    </w:p>
    <w:p w14:paraId="6CB63280" w14:textId="77777777" w:rsidR="003A7B84" w:rsidRPr="00E327A6" w:rsidRDefault="003A7B84" w:rsidP="003225EA">
      <w:pPr>
        <w:widowControl/>
      </w:pPr>
    </w:p>
    <w:p w14:paraId="2AC7A921" w14:textId="41795329" w:rsidR="005F07AA" w:rsidRPr="00865E8D" w:rsidRDefault="000F3CFE" w:rsidP="003225EA">
      <w:pPr>
        <w:widowControl/>
        <w:ind w:right="-286"/>
        <w:rPr>
          <w:szCs w:val="22"/>
        </w:rPr>
      </w:pPr>
      <w:r w:rsidRPr="00865E8D">
        <w:t xml:space="preserve">Food Standards Australia New Zealand (FSANZ) </w:t>
      </w:r>
      <w:r w:rsidR="00081B0A" w:rsidRPr="00865E8D">
        <w:t>assessed an application</w:t>
      </w:r>
      <w:r w:rsidR="00CA5734" w:rsidRPr="00865E8D">
        <w:t xml:space="preserve"> </w:t>
      </w:r>
      <w:r w:rsidR="00081B0A" w:rsidRPr="00865E8D">
        <w:t xml:space="preserve">made by </w:t>
      </w:r>
      <w:r w:rsidR="005F07AA" w:rsidRPr="00865E8D">
        <w:rPr>
          <w:rFonts w:cs="Arial"/>
          <w:szCs w:val="22"/>
        </w:rPr>
        <w:t xml:space="preserve">DSM </w:t>
      </w:r>
      <w:r w:rsidR="005F07AA" w:rsidRPr="00865E8D">
        <w:rPr>
          <w:rFonts w:cs="Arial"/>
          <w:szCs w:val="22"/>
          <w:lang w:eastAsia="en-GB" w:bidi="ar-SA"/>
        </w:rPr>
        <w:t xml:space="preserve">Nutritional Products </w:t>
      </w:r>
      <w:r w:rsidR="00CA5734" w:rsidRPr="00865E8D">
        <w:t>to</w:t>
      </w:r>
      <w:r w:rsidR="00081B0A" w:rsidRPr="00865E8D">
        <w:t xml:space="preserve"> </w:t>
      </w:r>
      <w:r w:rsidR="005F07AA" w:rsidRPr="00865E8D">
        <w:t xml:space="preserve">permit </w:t>
      </w:r>
      <w:r w:rsidR="005F07AA" w:rsidRPr="00865E8D">
        <w:rPr>
          <w:lang w:eastAsia="en-AU"/>
        </w:rPr>
        <w:t xml:space="preserve">an additional, replacement or alternative oil source of </w:t>
      </w:r>
      <w:r w:rsidR="00E3496D">
        <w:rPr>
          <w:lang w:eastAsia="en-AU"/>
        </w:rPr>
        <w:t>docosahexaenoic acid (</w:t>
      </w:r>
      <w:r w:rsidR="005F07AA" w:rsidRPr="00865E8D">
        <w:rPr>
          <w:lang w:eastAsia="en-AU"/>
        </w:rPr>
        <w:t>DHA</w:t>
      </w:r>
      <w:r w:rsidR="00E3496D">
        <w:rPr>
          <w:lang w:eastAsia="en-AU"/>
        </w:rPr>
        <w:t>)</w:t>
      </w:r>
      <w:r w:rsidR="005F07AA" w:rsidRPr="00865E8D">
        <w:rPr>
          <w:lang w:eastAsia="en-AU"/>
        </w:rPr>
        <w:t xml:space="preserve"> for use in infant formula products. The DHA oil is </w:t>
      </w:r>
      <w:r w:rsidR="005F07AA" w:rsidRPr="00865E8D">
        <w:rPr>
          <w:szCs w:val="22"/>
        </w:rPr>
        <w:t xml:space="preserve">derived from a new production strain of </w:t>
      </w:r>
      <w:r w:rsidR="005F07AA" w:rsidRPr="00865E8D">
        <w:rPr>
          <w:i/>
          <w:lang w:eastAsia="en-AU" w:bidi="ar-SA"/>
        </w:rPr>
        <w:t>Schizochytrium</w:t>
      </w:r>
      <w:r w:rsidR="005F07AA" w:rsidRPr="00865E8D">
        <w:rPr>
          <w:lang w:eastAsia="en-AU" w:bidi="ar-SA"/>
        </w:rPr>
        <w:t xml:space="preserve"> sp.</w:t>
      </w:r>
      <w:r w:rsidR="005F07AA" w:rsidRPr="00865E8D">
        <w:rPr>
          <w:szCs w:val="22"/>
        </w:rPr>
        <w:t xml:space="preserve"> known as </w:t>
      </w:r>
      <w:r w:rsidR="005F07AA" w:rsidRPr="00865E8D">
        <w:t>American Type Cell Culture (</w:t>
      </w:r>
      <w:r w:rsidR="00535493">
        <w:rPr>
          <w:szCs w:val="22"/>
        </w:rPr>
        <w:t>ATCC) PTA-96</w:t>
      </w:r>
      <w:r w:rsidR="00535493" w:rsidRPr="00A16EA3">
        <w:t>9</w:t>
      </w:r>
      <w:r w:rsidR="005F07AA" w:rsidRPr="00865E8D">
        <w:rPr>
          <w:szCs w:val="22"/>
        </w:rPr>
        <w:t>5</w:t>
      </w:r>
      <w:r w:rsidR="006A4C10" w:rsidRPr="00865E8D">
        <w:rPr>
          <w:szCs w:val="22"/>
        </w:rPr>
        <w:t xml:space="preserve">. The oil </w:t>
      </w:r>
      <w:r w:rsidR="005F07AA" w:rsidRPr="00865E8D">
        <w:rPr>
          <w:szCs w:val="22"/>
        </w:rPr>
        <w:t xml:space="preserve">is referred to as DHA-B throughout this report. </w:t>
      </w:r>
    </w:p>
    <w:p w14:paraId="24BC4FB7" w14:textId="0E4E035B" w:rsidR="00EB6590" w:rsidRDefault="00EB6590" w:rsidP="003225EA">
      <w:pPr>
        <w:widowControl/>
      </w:pPr>
    </w:p>
    <w:p w14:paraId="3C805332" w14:textId="3394BD58" w:rsidR="00081B0A" w:rsidRDefault="00081B0A" w:rsidP="003225EA">
      <w:pPr>
        <w:widowControl/>
      </w:pPr>
      <w:r>
        <w:t xml:space="preserve">On </w:t>
      </w:r>
      <w:r w:rsidR="00283B0C">
        <w:t>1 November 2016</w:t>
      </w:r>
      <w:r w:rsidRPr="00CA5734">
        <w:rPr>
          <w:color w:val="FF0000"/>
        </w:rPr>
        <w:t xml:space="preserve"> </w:t>
      </w:r>
      <w:r>
        <w:t xml:space="preserve">FSANZ sought </w:t>
      </w:r>
      <w:r w:rsidR="003A7B84">
        <w:t xml:space="preserve">submissions </w:t>
      </w:r>
      <w:r w:rsidR="00A671E6">
        <w:t xml:space="preserve">on </w:t>
      </w:r>
      <w:r w:rsidR="00F526BD">
        <w:t xml:space="preserve">a </w:t>
      </w:r>
      <w:r w:rsidR="00F526BD" w:rsidRPr="00865E8D">
        <w:t xml:space="preserve">draft </w:t>
      </w:r>
      <w:r w:rsidR="00E30092" w:rsidRPr="00865E8D">
        <w:t xml:space="preserve">variation </w:t>
      </w:r>
      <w:r w:rsidR="003A7B84">
        <w:t xml:space="preserve">and published an </w:t>
      </w:r>
      <w:r w:rsidR="00EC21DF">
        <w:t>associated r</w:t>
      </w:r>
      <w:r w:rsidR="003A7B84">
        <w:t>eport</w:t>
      </w:r>
      <w:r>
        <w:t>.</w:t>
      </w:r>
      <w:r w:rsidR="00283B0C">
        <w:t xml:space="preserve"> FSANZ received four</w:t>
      </w:r>
      <w:r w:rsidR="00F526BD">
        <w:t xml:space="preserve"> submissions.</w:t>
      </w:r>
    </w:p>
    <w:p w14:paraId="220468AD" w14:textId="77777777" w:rsidR="00CA5734" w:rsidRDefault="00CA5734" w:rsidP="003225EA">
      <w:pPr>
        <w:widowControl/>
      </w:pPr>
    </w:p>
    <w:p w14:paraId="0265ACF8" w14:textId="77777777" w:rsidR="00157382" w:rsidRDefault="00081B0A" w:rsidP="003225EA">
      <w:pPr>
        <w:widowControl/>
      </w:pPr>
      <w:bookmarkStart w:id="0" w:name="_GoBack"/>
      <w:bookmarkEnd w:id="0"/>
      <w:r>
        <w:t xml:space="preserve">FSANZ approved </w:t>
      </w:r>
      <w:r w:rsidRPr="00865E8D">
        <w:t xml:space="preserve">the draft </w:t>
      </w:r>
      <w:r w:rsidR="00E30092" w:rsidRPr="00865E8D">
        <w:t xml:space="preserve">variation </w:t>
      </w:r>
      <w:r w:rsidR="0012388D" w:rsidRPr="00865E8D">
        <w:t xml:space="preserve">on </w:t>
      </w:r>
      <w:r w:rsidR="005A7D7A" w:rsidRPr="005A7D7A">
        <w:t>9 March 2017</w:t>
      </w:r>
      <w:r w:rsidRPr="005A7D7A">
        <w:t xml:space="preserve">. </w:t>
      </w:r>
      <w:r w:rsidR="003A7B84" w:rsidRPr="005A7D7A">
        <w:t xml:space="preserve">The </w:t>
      </w:r>
      <w:r w:rsidR="00011187" w:rsidRPr="005A7D7A">
        <w:rPr>
          <w:rFonts w:cs="Helvetica"/>
          <w:lang w:val="en-AU"/>
        </w:rPr>
        <w:t xml:space="preserve">Australia and New Zealand Ministerial Forum on Food </w:t>
      </w:r>
      <w:r w:rsidR="00011187" w:rsidRPr="005A7D7A">
        <w:rPr>
          <w:rFonts w:cs="Arial"/>
        </w:rPr>
        <w:t>Regulation</w:t>
      </w:r>
      <w:r w:rsidR="00011187" w:rsidRPr="005A7D7A">
        <w:rPr>
          <w:rFonts w:cs="Helvetica"/>
          <w:lang w:val="en-AU"/>
        </w:rPr>
        <w:t xml:space="preserve"> </w:t>
      </w:r>
      <w:r w:rsidR="00861C13" w:rsidRPr="005A7D7A">
        <w:rPr>
          <w:rFonts w:cs="Arial"/>
        </w:rPr>
        <w:t>(F</w:t>
      </w:r>
      <w:r w:rsidR="00014E34" w:rsidRPr="005A7D7A">
        <w:rPr>
          <w:rFonts w:cs="Arial"/>
        </w:rPr>
        <w:t>orum</w:t>
      </w:r>
      <w:r w:rsidR="00861C13" w:rsidRPr="005A7D7A">
        <w:rPr>
          <w:rFonts w:cs="Arial"/>
        </w:rPr>
        <w:t>)</w:t>
      </w:r>
      <w:r w:rsidR="003A7B84" w:rsidRPr="005A7D7A">
        <w:t xml:space="preserve"> was notified of FSANZ’s decision on </w:t>
      </w:r>
    </w:p>
    <w:p w14:paraId="1E308194" w14:textId="11A969C2" w:rsidR="00081B0A" w:rsidRPr="005A7D7A" w:rsidRDefault="005A7D7A" w:rsidP="003225EA">
      <w:pPr>
        <w:widowControl/>
      </w:pPr>
      <w:r w:rsidRPr="005A7D7A">
        <w:t>22 March 2017</w:t>
      </w:r>
      <w:r w:rsidR="003A7B84" w:rsidRPr="005A7D7A">
        <w:t>.</w:t>
      </w:r>
    </w:p>
    <w:p w14:paraId="45E7BE3E" w14:textId="77777777" w:rsidR="00CA5734" w:rsidRDefault="00CA5734" w:rsidP="003225EA">
      <w:pPr>
        <w:widowControl/>
      </w:pPr>
    </w:p>
    <w:p w14:paraId="667A2231" w14:textId="70852D51" w:rsidR="00081B0A" w:rsidRDefault="003A7B84" w:rsidP="003225EA">
      <w:pPr>
        <w:widowControl/>
      </w:pPr>
      <w:r>
        <w:t>This R</w:t>
      </w:r>
      <w:r w:rsidR="00B425AA">
        <w:t xml:space="preserve">eport is provided pursuant to </w:t>
      </w:r>
      <w:r w:rsidR="009A2699" w:rsidRPr="00865E8D">
        <w:t>paragraph</w:t>
      </w:r>
      <w:r w:rsidR="00081B0A" w:rsidRPr="00865E8D">
        <w:t xml:space="preserve"> 33(1)(b) of the </w:t>
      </w:r>
      <w:r w:rsidR="00081B0A" w:rsidRPr="0012388D">
        <w:rPr>
          <w:i/>
        </w:rPr>
        <w:t>Food Standards Australia New Zealand Act 1991</w:t>
      </w:r>
      <w:r w:rsidR="00081B0A">
        <w:t xml:space="preserve"> (the FSANZ Act).</w:t>
      </w:r>
    </w:p>
    <w:p w14:paraId="767EB18D" w14:textId="77777777" w:rsidR="00F526BD" w:rsidRDefault="00F526BD" w:rsidP="003225EA">
      <w:pPr>
        <w:widowControl/>
      </w:pPr>
    </w:p>
    <w:p w14:paraId="756E62CF" w14:textId="77777777" w:rsidR="00EB6590" w:rsidRDefault="00EB6590" w:rsidP="003225EA">
      <w:pPr>
        <w:widowControl/>
      </w:pPr>
    </w:p>
    <w:p w14:paraId="26D19151" w14:textId="77777777" w:rsidR="00A671E6" w:rsidRDefault="00A671E6" w:rsidP="003225EA">
      <w:pPr>
        <w:widowControl/>
        <w:sectPr w:rsidR="00A671E6" w:rsidSect="00EB576F">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50C09C7A" w14:textId="77777777" w:rsidR="0012388D" w:rsidRDefault="00D15A08" w:rsidP="003225EA">
      <w:pPr>
        <w:widowControl/>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083FDC2D" w14:textId="77777777" w:rsidR="00CE59AA" w:rsidRPr="00346622" w:rsidRDefault="00CE59AA" w:rsidP="003225EA">
      <w:pPr>
        <w:widowControl/>
        <w:rPr>
          <w:rFonts w:cs="Arial"/>
          <w:sz w:val="20"/>
          <w:szCs w:val="20"/>
        </w:rPr>
      </w:pPr>
    </w:p>
    <w:p w14:paraId="6A0F9A85" w14:textId="77777777" w:rsidR="006A743B" w:rsidRPr="005A7D7A"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5A7D7A">
        <w:rPr>
          <w:rFonts w:ascii="Arial" w:hAnsi="Arial" w:cs="Arial"/>
          <w:b w:val="0"/>
          <w:bCs w:val="0"/>
          <w:caps w:val="0"/>
          <w:smallCaps/>
        </w:rPr>
        <w:fldChar w:fldCharType="begin"/>
      </w:r>
      <w:r w:rsidRPr="005A7D7A">
        <w:rPr>
          <w:rFonts w:ascii="Arial" w:hAnsi="Arial" w:cs="Arial"/>
        </w:rPr>
        <w:instrText xml:space="preserve"> TOC \h \z \t "Heading 1,1,Heading 2,2,Heading 3,3" </w:instrText>
      </w:r>
      <w:r w:rsidRPr="005A7D7A">
        <w:rPr>
          <w:rFonts w:ascii="Arial" w:hAnsi="Arial" w:cs="Arial"/>
          <w:b w:val="0"/>
          <w:bCs w:val="0"/>
          <w:caps w:val="0"/>
          <w:smallCaps/>
        </w:rPr>
        <w:fldChar w:fldCharType="separate"/>
      </w:r>
      <w:hyperlink w:anchor="_Toc474759469" w:history="1">
        <w:r w:rsidR="006A743B" w:rsidRPr="005A7D7A">
          <w:rPr>
            <w:rStyle w:val="Hyperlink"/>
            <w:rFonts w:ascii="Arial" w:hAnsi="Arial" w:cs="Arial"/>
            <w:noProof/>
          </w:rPr>
          <w:t>Executive summary</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_Toc474759469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2</w:t>
        </w:r>
        <w:r w:rsidR="006A743B" w:rsidRPr="005A7D7A">
          <w:rPr>
            <w:rFonts w:ascii="Arial" w:hAnsi="Arial" w:cs="Arial"/>
            <w:noProof/>
            <w:webHidden/>
          </w:rPr>
          <w:fldChar w:fldCharType="end"/>
        </w:r>
      </w:hyperlink>
    </w:p>
    <w:p w14:paraId="73A7D653" w14:textId="77777777" w:rsidR="006A743B" w:rsidRPr="005A7D7A" w:rsidRDefault="00157382">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4759470" w:history="1">
        <w:r w:rsidR="006A743B" w:rsidRPr="005A7D7A">
          <w:rPr>
            <w:rStyle w:val="Hyperlink"/>
            <w:rFonts w:ascii="Arial" w:hAnsi="Arial" w:cs="Arial"/>
            <w:noProof/>
          </w:rPr>
          <w:t>1</w:t>
        </w:r>
        <w:r w:rsidR="006A743B" w:rsidRPr="005A7D7A">
          <w:rPr>
            <w:rFonts w:ascii="Arial" w:eastAsiaTheme="minorEastAsia" w:hAnsi="Arial" w:cs="Arial"/>
            <w:b w:val="0"/>
            <w:bCs w:val="0"/>
            <w:caps w:val="0"/>
            <w:noProof/>
            <w:sz w:val="22"/>
            <w:szCs w:val="22"/>
            <w:lang w:eastAsia="en-GB" w:bidi="ar-SA"/>
          </w:rPr>
          <w:tab/>
        </w:r>
        <w:r w:rsidR="006A743B" w:rsidRPr="005A7D7A">
          <w:rPr>
            <w:rStyle w:val="Hyperlink"/>
            <w:rFonts w:ascii="Arial" w:hAnsi="Arial" w:cs="Arial"/>
            <w:noProof/>
          </w:rPr>
          <w:t>Introduction</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_Toc474759470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3</w:t>
        </w:r>
        <w:r w:rsidR="006A743B" w:rsidRPr="005A7D7A">
          <w:rPr>
            <w:rFonts w:ascii="Arial" w:hAnsi="Arial" w:cs="Arial"/>
            <w:noProof/>
            <w:webHidden/>
          </w:rPr>
          <w:fldChar w:fldCharType="end"/>
        </w:r>
      </w:hyperlink>
    </w:p>
    <w:p w14:paraId="08D63195" w14:textId="77777777" w:rsidR="006A743B" w:rsidRPr="005A7D7A" w:rsidRDefault="0015738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759471" w:history="1">
        <w:r w:rsidR="006A743B" w:rsidRPr="005A7D7A">
          <w:rPr>
            <w:rStyle w:val="Hyperlink"/>
            <w:rFonts w:ascii="Arial" w:hAnsi="Arial" w:cs="Arial"/>
            <w:noProof/>
          </w:rPr>
          <w:t>1.1</w:t>
        </w:r>
        <w:r w:rsidR="006A743B" w:rsidRPr="005A7D7A">
          <w:rPr>
            <w:rFonts w:ascii="Arial" w:eastAsiaTheme="minorEastAsia" w:hAnsi="Arial" w:cs="Arial"/>
            <w:smallCaps w:val="0"/>
            <w:noProof/>
            <w:sz w:val="22"/>
            <w:szCs w:val="22"/>
            <w:lang w:eastAsia="en-GB" w:bidi="ar-SA"/>
          </w:rPr>
          <w:tab/>
        </w:r>
        <w:r w:rsidR="006A743B" w:rsidRPr="005A7D7A">
          <w:rPr>
            <w:rStyle w:val="Hyperlink"/>
            <w:rFonts w:ascii="Arial" w:hAnsi="Arial" w:cs="Arial"/>
            <w:noProof/>
          </w:rPr>
          <w:t>The Applicant</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_Toc474759471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3</w:t>
        </w:r>
        <w:r w:rsidR="006A743B" w:rsidRPr="005A7D7A">
          <w:rPr>
            <w:rFonts w:ascii="Arial" w:hAnsi="Arial" w:cs="Arial"/>
            <w:noProof/>
            <w:webHidden/>
          </w:rPr>
          <w:fldChar w:fldCharType="end"/>
        </w:r>
      </w:hyperlink>
    </w:p>
    <w:p w14:paraId="1C38C552" w14:textId="77777777" w:rsidR="006A743B" w:rsidRPr="005A7D7A" w:rsidRDefault="0015738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759472" w:history="1">
        <w:r w:rsidR="006A743B" w:rsidRPr="005A7D7A">
          <w:rPr>
            <w:rStyle w:val="Hyperlink"/>
            <w:rFonts w:ascii="Arial" w:hAnsi="Arial" w:cs="Arial"/>
            <w:noProof/>
          </w:rPr>
          <w:t>1.2</w:t>
        </w:r>
        <w:r w:rsidR="006A743B" w:rsidRPr="005A7D7A">
          <w:rPr>
            <w:rFonts w:ascii="Arial" w:eastAsiaTheme="minorEastAsia" w:hAnsi="Arial" w:cs="Arial"/>
            <w:smallCaps w:val="0"/>
            <w:noProof/>
            <w:sz w:val="22"/>
            <w:szCs w:val="22"/>
            <w:lang w:eastAsia="en-GB" w:bidi="ar-SA"/>
          </w:rPr>
          <w:tab/>
        </w:r>
        <w:r w:rsidR="006A743B" w:rsidRPr="005A7D7A">
          <w:rPr>
            <w:rStyle w:val="Hyperlink"/>
            <w:rFonts w:ascii="Arial" w:hAnsi="Arial" w:cs="Arial"/>
            <w:noProof/>
          </w:rPr>
          <w:t>The Application</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_Toc474759472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3</w:t>
        </w:r>
        <w:r w:rsidR="006A743B" w:rsidRPr="005A7D7A">
          <w:rPr>
            <w:rFonts w:ascii="Arial" w:hAnsi="Arial" w:cs="Arial"/>
            <w:noProof/>
            <w:webHidden/>
          </w:rPr>
          <w:fldChar w:fldCharType="end"/>
        </w:r>
      </w:hyperlink>
    </w:p>
    <w:p w14:paraId="48F6AA5D" w14:textId="77777777" w:rsidR="006A743B" w:rsidRPr="005A7D7A" w:rsidRDefault="0015738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759473" w:history="1">
        <w:r w:rsidR="006A743B" w:rsidRPr="005A7D7A">
          <w:rPr>
            <w:rStyle w:val="Hyperlink"/>
            <w:rFonts w:ascii="Arial" w:hAnsi="Arial" w:cs="Arial"/>
            <w:noProof/>
          </w:rPr>
          <w:t>1.3</w:t>
        </w:r>
        <w:r w:rsidR="006A743B" w:rsidRPr="005A7D7A">
          <w:rPr>
            <w:rFonts w:ascii="Arial" w:eastAsiaTheme="minorEastAsia" w:hAnsi="Arial" w:cs="Arial"/>
            <w:smallCaps w:val="0"/>
            <w:noProof/>
            <w:sz w:val="22"/>
            <w:szCs w:val="22"/>
            <w:lang w:eastAsia="en-GB" w:bidi="ar-SA"/>
          </w:rPr>
          <w:tab/>
        </w:r>
        <w:r w:rsidR="006A743B" w:rsidRPr="005A7D7A">
          <w:rPr>
            <w:rStyle w:val="Hyperlink"/>
            <w:rFonts w:ascii="Arial" w:hAnsi="Arial" w:cs="Arial"/>
            <w:noProof/>
          </w:rPr>
          <w:t>The current Standard</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_Toc474759473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3</w:t>
        </w:r>
        <w:r w:rsidR="006A743B" w:rsidRPr="005A7D7A">
          <w:rPr>
            <w:rFonts w:ascii="Arial" w:hAnsi="Arial" w:cs="Arial"/>
            <w:noProof/>
            <w:webHidden/>
          </w:rPr>
          <w:fldChar w:fldCharType="end"/>
        </w:r>
      </w:hyperlink>
    </w:p>
    <w:p w14:paraId="39F287E1" w14:textId="77777777" w:rsidR="006A743B" w:rsidRPr="005A7D7A" w:rsidRDefault="00157382" w:rsidP="006A743B">
      <w:pPr>
        <w:pStyle w:val="TOC3"/>
        <w:rPr>
          <w:rFonts w:ascii="Arial" w:eastAsiaTheme="minorEastAsia" w:hAnsi="Arial" w:cs="Arial"/>
          <w:noProof/>
          <w:sz w:val="22"/>
          <w:szCs w:val="22"/>
          <w:lang w:eastAsia="en-GB" w:bidi="ar-SA"/>
        </w:rPr>
      </w:pPr>
      <w:hyperlink w:anchor="_Toc474759474" w:history="1">
        <w:r w:rsidR="006A743B" w:rsidRPr="005A7D7A">
          <w:rPr>
            <w:rStyle w:val="Hyperlink"/>
            <w:rFonts w:ascii="Arial" w:hAnsi="Arial" w:cs="Arial"/>
            <w:noProof/>
          </w:rPr>
          <w:t>1.3.1</w:t>
        </w:r>
        <w:r w:rsidR="006A743B" w:rsidRPr="005A7D7A">
          <w:rPr>
            <w:rFonts w:ascii="Arial" w:eastAsiaTheme="minorEastAsia" w:hAnsi="Arial" w:cs="Arial"/>
            <w:noProof/>
            <w:sz w:val="22"/>
            <w:szCs w:val="22"/>
            <w:lang w:eastAsia="en-GB" w:bidi="ar-SA"/>
          </w:rPr>
          <w:tab/>
        </w:r>
        <w:r w:rsidR="006A743B" w:rsidRPr="005A7D7A">
          <w:rPr>
            <w:rStyle w:val="Hyperlink"/>
            <w:rFonts w:ascii="Arial" w:hAnsi="Arial" w:cs="Arial"/>
            <w:noProof/>
          </w:rPr>
          <w:t>Australia New Zealand</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_Toc474759474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3</w:t>
        </w:r>
        <w:r w:rsidR="006A743B" w:rsidRPr="005A7D7A">
          <w:rPr>
            <w:rFonts w:ascii="Arial" w:hAnsi="Arial" w:cs="Arial"/>
            <w:noProof/>
            <w:webHidden/>
          </w:rPr>
          <w:fldChar w:fldCharType="end"/>
        </w:r>
      </w:hyperlink>
    </w:p>
    <w:p w14:paraId="28539144" w14:textId="77777777" w:rsidR="006A743B" w:rsidRPr="005A7D7A" w:rsidRDefault="00157382" w:rsidP="006A743B">
      <w:pPr>
        <w:pStyle w:val="TOC3"/>
        <w:rPr>
          <w:rFonts w:ascii="Arial" w:eastAsiaTheme="minorEastAsia" w:hAnsi="Arial" w:cs="Arial"/>
          <w:noProof/>
          <w:sz w:val="22"/>
          <w:szCs w:val="22"/>
          <w:lang w:eastAsia="en-GB" w:bidi="ar-SA"/>
        </w:rPr>
      </w:pPr>
      <w:hyperlink w:anchor="_Toc474759475" w:history="1">
        <w:r w:rsidR="006A743B" w:rsidRPr="005A7D7A">
          <w:rPr>
            <w:rStyle w:val="Hyperlink"/>
            <w:rFonts w:ascii="Arial" w:hAnsi="Arial" w:cs="Arial"/>
            <w:noProof/>
          </w:rPr>
          <w:t>1.3.2</w:t>
        </w:r>
        <w:r w:rsidR="006A743B" w:rsidRPr="005A7D7A">
          <w:rPr>
            <w:rFonts w:ascii="Arial" w:eastAsiaTheme="minorEastAsia" w:hAnsi="Arial" w:cs="Arial"/>
            <w:noProof/>
            <w:sz w:val="22"/>
            <w:szCs w:val="22"/>
            <w:lang w:eastAsia="en-GB" w:bidi="ar-SA"/>
          </w:rPr>
          <w:tab/>
        </w:r>
        <w:r w:rsidR="006A743B" w:rsidRPr="005A7D7A">
          <w:rPr>
            <w:rStyle w:val="Hyperlink"/>
            <w:rFonts w:ascii="Arial" w:hAnsi="Arial" w:cs="Arial"/>
            <w:noProof/>
          </w:rPr>
          <w:t>Current proposals to amend the Code</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_Toc474759475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4</w:t>
        </w:r>
        <w:r w:rsidR="006A743B" w:rsidRPr="005A7D7A">
          <w:rPr>
            <w:rFonts w:ascii="Arial" w:hAnsi="Arial" w:cs="Arial"/>
            <w:noProof/>
            <w:webHidden/>
          </w:rPr>
          <w:fldChar w:fldCharType="end"/>
        </w:r>
      </w:hyperlink>
    </w:p>
    <w:p w14:paraId="28F89EF8" w14:textId="77777777" w:rsidR="006A743B" w:rsidRPr="005A7D7A" w:rsidRDefault="00157382" w:rsidP="006A743B">
      <w:pPr>
        <w:pStyle w:val="TOC3"/>
        <w:rPr>
          <w:rFonts w:ascii="Arial" w:eastAsiaTheme="minorEastAsia" w:hAnsi="Arial" w:cs="Arial"/>
          <w:noProof/>
          <w:sz w:val="22"/>
          <w:szCs w:val="22"/>
          <w:lang w:eastAsia="en-GB" w:bidi="ar-SA"/>
        </w:rPr>
      </w:pPr>
      <w:hyperlink w:anchor="_Toc474759476" w:history="1">
        <w:r w:rsidR="006A743B" w:rsidRPr="005A7D7A">
          <w:rPr>
            <w:rStyle w:val="Hyperlink"/>
            <w:rFonts w:ascii="Arial" w:hAnsi="Arial" w:cs="Arial"/>
            <w:noProof/>
          </w:rPr>
          <w:t>1.3.3</w:t>
        </w:r>
        <w:r w:rsidR="006A743B" w:rsidRPr="005A7D7A">
          <w:rPr>
            <w:rFonts w:ascii="Arial" w:eastAsiaTheme="minorEastAsia" w:hAnsi="Arial" w:cs="Arial"/>
            <w:noProof/>
            <w:sz w:val="22"/>
            <w:szCs w:val="22"/>
            <w:lang w:eastAsia="en-GB" w:bidi="ar-SA"/>
          </w:rPr>
          <w:tab/>
        </w:r>
        <w:r w:rsidR="006A743B" w:rsidRPr="005A7D7A">
          <w:rPr>
            <w:rStyle w:val="Hyperlink"/>
            <w:rFonts w:ascii="Arial" w:hAnsi="Arial" w:cs="Arial"/>
            <w:noProof/>
          </w:rPr>
          <w:t>International and overseas regulations</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_Toc474759476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4</w:t>
        </w:r>
        <w:r w:rsidR="006A743B" w:rsidRPr="005A7D7A">
          <w:rPr>
            <w:rFonts w:ascii="Arial" w:hAnsi="Arial" w:cs="Arial"/>
            <w:noProof/>
            <w:webHidden/>
          </w:rPr>
          <w:fldChar w:fldCharType="end"/>
        </w:r>
      </w:hyperlink>
    </w:p>
    <w:p w14:paraId="64F74B96" w14:textId="77777777" w:rsidR="006A743B" w:rsidRPr="005A7D7A" w:rsidRDefault="0015738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759477" w:history="1">
        <w:r w:rsidR="006A743B" w:rsidRPr="005A7D7A">
          <w:rPr>
            <w:rStyle w:val="Hyperlink"/>
            <w:rFonts w:ascii="Arial" w:hAnsi="Arial" w:cs="Arial"/>
            <w:noProof/>
            <w:u w:color="FFFF00"/>
          </w:rPr>
          <w:t>1.4</w:t>
        </w:r>
        <w:r w:rsidR="006A743B" w:rsidRPr="005A7D7A">
          <w:rPr>
            <w:rFonts w:ascii="Arial" w:eastAsiaTheme="minorEastAsia" w:hAnsi="Arial" w:cs="Arial"/>
            <w:smallCaps w:val="0"/>
            <w:noProof/>
            <w:sz w:val="22"/>
            <w:szCs w:val="22"/>
            <w:lang w:eastAsia="en-GB" w:bidi="ar-SA"/>
          </w:rPr>
          <w:tab/>
        </w:r>
        <w:r w:rsidR="006A743B" w:rsidRPr="005A7D7A">
          <w:rPr>
            <w:rStyle w:val="Hyperlink"/>
            <w:rFonts w:ascii="Arial" w:hAnsi="Arial" w:cs="Arial"/>
            <w:noProof/>
            <w:u w:color="FFFF00"/>
          </w:rPr>
          <w:t>Reasons for accepting Application</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_Toc474759477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5</w:t>
        </w:r>
        <w:r w:rsidR="006A743B" w:rsidRPr="005A7D7A">
          <w:rPr>
            <w:rFonts w:ascii="Arial" w:hAnsi="Arial" w:cs="Arial"/>
            <w:noProof/>
            <w:webHidden/>
          </w:rPr>
          <w:fldChar w:fldCharType="end"/>
        </w:r>
      </w:hyperlink>
    </w:p>
    <w:p w14:paraId="7E1B9BDF" w14:textId="77777777" w:rsidR="006A743B" w:rsidRPr="005A7D7A" w:rsidRDefault="0015738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759478" w:history="1">
        <w:r w:rsidR="006A743B" w:rsidRPr="005A7D7A">
          <w:rPr>
            <w:rStyle w:val="Hyperlink"/>
            <w:rFonts w:ascii="Arial" w:hAnsi="Arial" w:cs="Arial"/>
            <w:noProof/>
          </w:rPr>
          <w:t>1.5</w:t>
        </w:r>
        <w:r w:rsidR="006A743B" w:rsidRPr="005A7D7A">
          <w:rPr>
            <w:rFonts w:ascii="Arial" w:eastAsiaTheme="minorEastAsia" w:hAnsi="Arial" w:cs="Arial"/>
            <w:smallCaps w:val="0"/>
            <w:noProof/>
            <w:sz w:val="22"/>
            <w:szCs w:val="22"/>
            <w:lang w:eastAsia="en-GB" w:bidi="ar-SA"/>
          </w:rPr>
          <w:tab/>
        </w:r>
        <w:r w:rsidR="006A743B" w:rsidRPr="005A7D7A">
          <w:rPr>
            <w:rStyle w:val="Hyperlink"/>
            <w:rFonts w:ascii="Arial" w:hAnsi="Arial" w:cs="Arial"/>
            <w:noProof/>
          </w:rPr>
          <w:t>Procedure for assessment</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_Toc474759478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5</w:t>
        </w:r>
        <w:r w:rsidR="006A743B" w:rsidRPr="005A7D7A">
          <w:rPr>
            <w:rFonts w:ascii="Arial" w:hAnsi="Arial" w:cs="Arial"/>
            <w:noProof/>
            <w:webHidden/>
          </w:rPr>
          <w:fldChar w:fldCharType="end"/>
        </w:r>
      </w:hyperlink>
    </w:p>
    <w:p w14:paraId="0437A6D0" w14:textId="77777777" w:rsidR="006A743B" w:rsidRPr="005A7D7A" w:rsidRDefault="0015738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759479" w:history="1">
        <w:r w:rsidR="006A743B" w:rsidRPr="005A7D7A">
          <w:rPr>
            <w:rStyle w:val="Hyperlink"/>
            <w:rFonts w:ascii="Arial" w:hAnsi="Arial" w:cs="Arial"/>
            <w:noProof/>
          </w:rPr>
          <w:t>1.6</w:t>
        </w:r>
        <w:r w:rsidR="006A743B" w:rsidRPr="005A7D7A">
          <w:rPr>
            <w:rFonts w:ascii="Arial" w:eastAsiaTheme="minorEastAsia" w:hAnsi="Arial" w:cs="Arial"/>
            <w:smallCaps w:val="0"/>
            <w:noProof/>
            <w:sz w:val="22"/>
            <w:szCs w:val="22"/>
            <w:lang w:eastAsia="en-GB" w:bidi="ar-SA"/>
          </w:rPr>
          <w:tab/>
        </w:r>
        <w:r w:rsidR="006A743B" w:rsidRPr="005A7D7A">
          <w:rPr>
            <w:rStyle w:val="Hyperlink"/>
            <w:rFonts w:ascii="Arial" w:hAnsi="Arial" w:cs="Arial"/>
            <w:noProof/>
          </w:rPr>
          <w:t>Decision</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_Toc474759479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5</w:t>
        </w:r>
        <w:r w:rsidR="006A743B" w:rsidRPr="005A7D7A">
          <w:rPr>
            <w:rFonts w:ascii="Arial" w:hAnsi="Arial" w:cs="Arial"/>
            <w:noProof/>
            <w:webHidden/>
          </w:rPr>
          <w:fldChar w:fldCharType="end"/>
        </w:r>
      </w:hyperlink>
    </w:p>
    <w:p w14:paraId="66072325" w14:textId="77777777" w:rsidR="006A743B" w:rsidRPr="005A7D7A" w:rsidRDefault="00157382">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4759480" w:history="1">
        <w:r w:rsidR="006A743B" w:rsidRPr="005A7D7A">
          <w:rPr>
            <w:rStyle w:val="Hyperlink"/>
            <w:rFonts w:ascii="Arial" w:hAnsi="Arial" w:cs="Arial"/>
            <w:noProof/>
          </w:rPr>
          <w:t>2</w:t>
        </w:r>
        <w:r w:rsidR="006A743B" w:rsidRPr="005A7D7A">
          <w:rPr>
            <w:rFonts w:ascii="Arial" w:eastAsiaTheme="minorEastAsia" w:hAnsi="Arial" w:cs="Arial"/>
            <w:b w:val="0"/>
            <w:bCs w:val="0"/>
            <w:caps w:val="0"/>
            <w:noProof/>
            <w:sz w:val="22"/>
            <w:szCs w:val="22"/>
            <w:lang w:eastAsia="en-GB" w:bidi="ar-SA"/>
          </w:rPr>
          <w:tab/>
        </w:r>
        <w:r w:rsidR="006A743B" w:rsidRPr="005A7D7A">
          <w:rPr>
            <w:rStyle w:val="Hyperlink"/>
            <w:rFonts w:ascii="Arial" w:hAnsi="Arial" w:cs="Arial"/>
            <w:noProof/>
          </w:rPr>
          <w:t xml:space="preserve">Summary </w:t>
        </w:r>
        <w:r w:rsidR="006A743B" w:rsidRPr="005A7D7A">
          <w:rPr>
            <w:rStyle w:val="Hyperlink"/>
            <w:rFonts w:ascii="Arial" w:hAnsi="Arial" w:cs="Arial"/>
            <w:noProof/>
            <w:u w:color="FFFF00"/>
          </w:rPr>
          <w:t>of</w:t>
        </w:r>
        <w:r w:rsidR="006A743B" w:rsidRPr="005A7D7A">
          <w:rPr>
            <w:rStyle w:val="Hyperlink"/>
            <w:rFonts w:ascii="Arial" w:hAnsi="Arial" w:cs="Arial"/>
            <w:noProof/>
          </w:rPr>
          <w:t xml:space="preserve"> the findings</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_Toc474759480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5</w:t>
        </w:r>
        <w:r w:rsidR="006A743B" w:rsidRPr="005A7D7A">
          <w:rPr>
            <w:rFonts w:ascii="Arial" w:hAnsi="Arial" w:cs="Arial"/>
            <w:noProof/>
            <w:webHidden/>
          </w:rPr>
          <w:fldChar w:fldCharType="end"/>
        </w:r>
      </w:hyperlink>
    </w:p>
    <w:p w14:paraId="3ADC3B60" w14:textId="77777777" w:rsidR="006A743B" w:rsidRPr="005A7D7A" w:rsidRDefault="0015738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759481" w:history="1">
        <w:r w:rsidR="006A743B" w:rsidRPr="005A7D7A">
          <w:rPr>
            <w:rStyle w:val="Hyperlink"/>
            <w:rFonts w:ascii="Arial" w:hAnsi="Arial" w:cs="Arial"/>
            <w:noProof/>
          </w:rPr>
          <w:t>2.1</w:t>
        </w:r>
        <w:r w:rsidR="006A743B" w:rsidRPr="005A7D7A">
          <w:rPr>
            <w:rFonts w:ascii="Arial" w:eastAsiaTheme="minorEastAsia" w:hAnsi="Arial" w:cs="Arial"/>
            <w:smallCaps w:val="0"/>
            <w:noProof/>
            <w:sz w:val="22"/>
            <w:szCs w:val="22"/>
            <w:lang w:eastAsia="en-GB" w:bidi="ar-SA"/>
          </w:rPr>
          <w:tab/>
        </w:r>
        <w:r w:rsidR="006A743B" w:rsidRPr="005A7D7A">
          <w:rPr>
            <w:rStyle w:val="Hyperlink"/>
            <w:rFonts w:ascii="Arial" w:hAnsi="Arial" w:cs="Arial"/>
            <w:noProof/>
          </w:rPr>
          <w:t>Summary of issues raised in submissions</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_Toc474759481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6</w:t>
        </w:r>
        <w:r w:rsidR="006A743B" w:rsidRPr="005A7D7A">
          <w:rPr>
            <w:rFonts w:ascii="Arial" w:hAnsi="Arial" w:cs="Arial"/>
            <w:noProof/>
            <w:webHidden/>
          </w:rPr>
          <w:fldChar w:fldCharType="end"/>
        </w:r>
      </w:hyperlink>
    </w:p>
    <w:p w14:paraId="2DDEB229" w14:textId="77777777" w:rsidR="006A743B" w:rsidRPr="005A7D7A" w:rsidRDefault="0015738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759482" w:history="1">
        <w:r w:rsidR="006A743B" w:rsidRPr="005A7D7A">
          <w:rPr>
            <w:rStyle w:val="Hyperlink"/>
            <w:rFonts w:ascii="Arial" w:hAnsi="Arial" w:cs="Arial"/>
            <w:noProof/>
          </w:rPr>
          <w:t>2.2</w:t>
        </w:r>
        <w:r w:rsidR="006A743B" w:rsidRPr="005A7D7A">
          <w:rPr>
            <w:rFonts w:ascii="Arial" w:eastAsiaTheme="minorEastAsia" w:hAnsi="Arial" w:cs="Arial"/>
            <w:smallCaps w:val="0"/>
            <w:noProof/>
            <w:sz w:val="22"/>
            <w:szCs w:val="22"/>
            <w:lang w:eastAsia="en-GB" w:bidi="ar-SA"/>
          </w:rPr>
          <w:tab/>
        </w:r>
        <w:r w:rsidR="006A743B" w:rsidRPr="005A7D7A">
          <w:rPr>
            <w:rStyle w:val="Hyperlink"/>
            <w:rFonts w:ascii="Arial" w:hAnsi="Arial" w:cs="Arial"/>
            <w:noProof/>
          </w:rPr>
          <w:t>Risk assessment</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_Toc474759482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6</w:t>
        </w:r>
        <w:r w:rsidR="006A743B" w:rsidRPr="005A7D7A">
          <w:rPr>
            <w:rFonts w:ascii="Arial" w:hAnsi="Arial" w:cs="Arial"/>
            <w:noProof/>
            <w:webHidden/>
          </w:rPr>
          <w:fldChar w:fldCharType="end"/>
        </w:r>
      </w:hyperlink>
    </w:p>
    <w:p w14:paraId="53659208" w14:textId="77777777" w:rsidR="006A743B" w:rsidRPr="005A7D7A" w:rsidRDefault="0015738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759483" w:history="1">
        <w:r w:rsidR="006A743B" w:rsidRPr="005A7D7A">
          <w:rPr>
            <w:rStyle w:val="Hyperlink"/>
            <w:rFonts w:ascii="Arial" w:hAnsi="Arial" w:cs="Arial"/>
            <w:noProof/>
          </w:rPr>
          <w:t>2.3</w:t>
        </w:r>
        <w:r w:rsidR="006A743B" w:rsidRPr="005A7D7A">
          <w:rPr>
            <w:rFonts w:ascii="Arial" w:eastAsiaTheme="minorEastAsia" w:hAnsi="Arial" w:cs="Arial"/>
            <w:smallCaps w:val="0"/>
            <w:noProof/>
            <w:sz w:val="22"/>
            <w:szCs w:val="22"/>
            <w:lang w:eastAsia="en-GB" w:bidi="ar-SA"/>
          </w:rPr>
          <w:tab/>
        </w:r>
        <w:r w:rsidR="006A743B" w:rsidRPr="005A7D7A">
          <w:rPr>
            <w:rStyle w:val="Hyperlink"/>
            <w:rFonts w:ascii="Arial" w:hAnsi="Arial" w:cs="Arial"/>
            <w:noProof/>
          </w:rPr>
          <w:t>Risk management</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_Toc474759483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7</w:t>
        </w:r>
        <w:r w:rsidR="006A743B" w:rsidRPr="005A7D7A">
          <w:rPr>
            <w:rFonts w:ascii="Arial" w:hAnsi="Arial" w:cs="Arial"/>
            <w:noProof/>
            <w:webHidden/>
          </w:rPr>
          <w:fldChar w:fldCharType="end"/>
        </w:r>
      </w:hyperlink>
    </w:p>
    <w:p w14:paraId="7AA00D27" w14:textId="77777777" w:rsidR="006A743B" w:rsidRPr="005A7D7A" w:rsidRDefault="0015738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759484" w:history="1">
        <w:r w:rsidR="006A743B" w:rsidRPr="005A7D7A">
          <w:rPr>
            <w:rStyle w:val="Hyperlink"/>
            <w:rFonts w:ascii="Arial" w:hAnsi="Arial" w:cs="Arial"/>
            <w:noProof/>
          </w:rPr>
          <w:t>2.4</w:t>
        </w:r>
        <w:r w:rsidR="006A743B" w:rsidRPr="005A7D7A">
          <w:rPr>
            <w:rFonts w:ascii="Arial" w:eastAsiaTheme="minorEastAsia" w:hAnsi="Arial" w:cs="Arial"/>
            <w:smallCaps w:val="0"/>
            <w:noProof/>
            <w:sz w:val="22"/>
            <w:szCs w:val="22"/>
            <w:lang w:eastAsia="en-GB" w:bidi="ar-SA"/>
          </w:rPr>
          <w:tab/>
        </w:r>
        <w:r w:rsidR="006A743B" w:rsidRPr="005A7D7A">
          <w:rPr>
            <w:rStyle w:val="Hyperlink"/>
            <w:rFonts w:ascii="Arial" w:hAnsi="Arial" w:cs="Arial"/>
            <w:noProof/>
          </w:rPr>
          <w:t>Risk communication</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_Toc474759484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8</w:t>
        </w:r>
        <w:r w:rsidR="006A743B" w:rsidRPr="005A7D7A">
          <w:rPr>
            <w:rFonts w:ascii="Arial" w:hAnsi="Arial" w:cs="Arial"/>
            <w:noProof/>
            <w:webHidden/>
          </w:rPr>
          <w:fldChar w:fldCharType="end"/>
        </w:r>
      </w:hyperlink>
    </w:p>
    <w:p w14:paraId="69257F9C" w14:textId="77777777" w:rsidR="006A743B" w:rsidRPr="005A7D7A" w:rsidRDefault="00157382" w:rsidP="006A743B">
      <w:pPr>
        <w:pStyle w:val="TOC3"/>
        <w:rPr>
          <w:rFonts w:ascii="Arial" w:eastAsiaTheme="minorEastAsia" w:hAnsi="Arial" w:cs="Arial"/>
          <w:noProof/>
          <w:sz w:val="22"/>
          <w:szCs w:val="22"/>
          <w:lang w:eastAsia="en-GB" w:bidi="ar-SA"/>
        </w:rPr>
      </w:pPr>
      <w:hyperlink w:anchor="_Toc474759485" w:history="1">
        <w:r w:rsidR="006A743B" w:rsidRPr="005A7D7A">
          <w:rPr>
            <w:rStyle w:val="Hyperlink"/>
            <w:rFonts w:ascii="Arial" w:hAnsi="Arial" w:cs="Arial"/>
            <w:noProof/>
          </w:rPr>
          <w:t>2.4.1</w:t>
        </w:r>
        <w:r w:rsidR="006A743B" w:rsidRPr="005A7D7A">
          <w:rPr>
            <w:rFonts w:ascii="Arial" w:eastAsiaTheme="minorEastAsia" w:hAnsi="Arial" w:cs="Arial"/>
            <w:noProof/>
            <w:sz w:val="22"/>
            <w:szCs w:val="22"/>
            <w:lang w:eastAsia="en-GB" w:bidi="ar-SA"/>
          </w:rPr>
          <w:tab/>
        </w:r>
        <w:r w:rsidR="006A743B" w:rsidRPr="005A7D7A">
          <w:rPr>
            <w:rStyle w:val="Hyperlink"/>
            <w:rFonts w:ascii="Arial" w:hAnsi="Arial" w:cs="Arial"/>
            <w:noProof/>
          </w:rPr>
          <w:t>Consultation</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_Toc474759485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8</w:t>
        </w:r>
        <w:r w:rsidR="006A743B" w:rsidRPr="005A7D7A">
          <w:rPr>
            <w:rFonts w:ascii="Arial" w:hAnsi="Arial" w:cs="Arial"/>
            <w:noProof/>
            <w:webHidden/>
          </w:rPr>
          <w:fldChar w:fldCharType="end"/>
        </w:r>
      </w:hyperlink>
    </w:p>
    <w:p w14:paraId="5E9D79FB" w14:textId="77777777" w:rsidR="006A743B" w:rsidRPr="005A7D7A" w:rsidRDefault="0015738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4759486" w:history="1">
        <w:r w:rsidR="006A743B" w:rsidRPr="005A7D7A">
          <w:rPr>
            <w:rStyle w:val="Hyperlink"/>
            <w:rFonts w:ascii="Arial" w:hAnsi="Arial" w:cs="Arial"/>
            <w:noProof/>
          </w:rPr>
          <w:t>2.5</w:t>
        </w:r>
        <w:r w:rsidR="006A743B" w:rsidRPr="005A7D7A">
          <w:rPr>
            <w:rFonts w:ascii="Arial" w:eastAsiaTheme="minorEastAsia" w:hAnsi="Arial" w:cs="Arial"/>
            <w:smallCaps w:val="0"/>
            <w:noProof/>
            <w:sz w:val="22"/>
            <w:szCs w:val="22"/>
            <w:lang w:eastAsia="en-GB" w:bidi="ar-SA"/>
          </w:rPr>
          <w:tab/>
        </w:r>
        <w:r w:rsidR="006A743B" w:rsidRPr="005A7D7A">
          <w:rPr>
            <w:rStyle w:val="Hyperlink"/>
            <w:rFonts w:ascii="Arial" w:hAnsi="Arial" w:cs="Arial"/>
            <w:noProof/>
          </w:rPr>
          <w:t>FSANZ Act assessment requirements</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_Toc474759486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8</w:t>
        </w:r>
        <w:r w:rsidR="006A743B" w:rsidRPr="005A7D7A">
          <w:rPr>
            <w:rFonts w:ascii="Arial" w:hAnsi="Arial" w:cs="Arial"/>
            <w:noProof/>
            <w:webHidden/>
          </w:rPr>
          <w:fldChar w:fldCharType="end"/>
        </w:r>
      </w:hyperlink>
    </w:p>
    <w:p w14:paraId="5A5D8B1E" w14:textId="77777777" w:rsidR="006A743B" w:rsidRPr="005A7D7A" w:rsidRDefault="00157382" w:rsidP="006A743B">
      <w:pPr>
        <w:pStyle w:val="TOC3"/>
        <w:rPr>
          <w:rFonts w:ascii="Arial" w:eastAsiaTheme="minorEastAsia" w:hAnsi="Arial" w:cs="Arial"/>
          <w:noProof/>
          <w:sz w:val="22"/>
          <w:szCs w:val="22"/>
          <w:lang w:eastAsia="en-GB" w:bidi="ar-SA"/>
        </w:rPr>
      </w:pPr>
      <w:hyperlink w:anchor="_Toc474759487" w:history="1">
        <w:r w:rsidR="006A743B" w:rsidRPr="005A7D7A">
          <w:rPr>
            <w:rStyle w:val="Hyperlink"/>
            <w:rFonts w:ascii="Arial" w:hAnsi="Arial" w:cs="Arial"/>
            <w:noProof/>
          </w:rPr>
          <w:t>2.5.1</w:t>
        </w:r>
        <w:r w:rsidR="006A743B" w:rsidRPr="005A7D7A">
          <w:rPr>
            <w:rFonts w:ascii="Arial" w:eastAsiaTheme="minorEastAsia" w:hAnsi="Arial" w:cs="Arial"/>
            <w:noProof/>
            <w:sz w:val="22"/>
            <w:szCs w:val="22"/>
            <w:lang w:eastAsia="en-GB" w:bidi="ar-SA"/>
          </w:rPr>
          <w:tab/>
        </w:r>
        <w:r w:rsidR="006A743B" w:rsidRPr="005A7D7A">
          <w:rPr>
            <w:rStyle w:val="Hyperlink"/>
            <w:rFonts w:ascii="Arial" w:hAnsi="Arial" w:cs="Arial"/>
            <w:noProof/>
          </w:rPr>
          <w:t>Section 29</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_Toc474759487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8</w:t>
        </w:r>
        <w:r w:rsidR="006A743B" w:rsidRPr="005A7D7A">
          <w:rPr>
            <w:rFonts w:ascii="Arial" w:hAnsi="Arial" w:cs="Arial"/>
            <w:noProof/>
            <w:webHidden/>
          </w:rPr>
          <w:fldChar w:fldCharType="end"/>
        </w:r>
      </w:hyperlink>
    </w:p>
    <w:p w14:paraId="51AEDE2E" w14:textId="77777777" w:rsidR="006A743B" w:rsidRPr="005A7D7A" w:rsidRDefault="00157382" w:rsidP="006A743B">
      <w:pPr>
        <w:pStyle w:val="TOC3"/>
        <w:rPr>
          <w:rFonts w:ascii="Arial" w:eastAsiaTheme="minorEastAsia" w:hAnsi="Arial" w:cs="Arial"/>
          <w:noProof/>
          <w:sz w:val="22"/>
          <w:szCs w:val="22"/>
          <w:lang w:eastAsia="en-GB" w:bidi="ar-SA"/>
        </w:rPr>
      </w:pPr>
      <w:hyperlink w:anchor="_Toc474759488" w:history="1">
        <w:r w:rsidR="006A743B" w:rsidRPr="005A7D7A">
          <w:rPr>
            <w:rStyle w:val="Hyperlink"/>
            <w:rFonts w:ascii="Arial" w:hAnsi="Arial" w:cs="Arial"/>
            <w:noProof/>
          </w:rPr>
          <w:t>2.5.2.</w:t>
        </w:r>
        <w:r w:rsidR="006A743B" w:rsidRPr="005A7D7A">
          <w:rPr>
            <w:rFonts w:ascii="Arial" w:eastAsiaTheme="minorEastAsia" w:hAnsi="Arial" w:cs="Arial"/>
            <w:noProof/>
            <w:sz w:val="22"/>
            <w:szCs w:val="22"/>
            <w:lang w:eastAsia="en-GB" w:bidi="ar-SA"/>
          </w:rPr>
          <w:tab/>
        </w:r>
        <w:r w:rsidR="006A743B" w:rsidRPr="005A7D7A">
          <w:rPr>
            <w:rStyle w:val="Hyperlink"/>
            <w:rFonts w:ascii="Arial" w:hAnsi="Arial" w:cs="Arial"/>
            <w:noProof/>
          </w:rPr>
          <w:t>Subsection 18(1)</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_Toc474759488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9</w:t>
        </w:r>
        <w:r w:rsidR="006A743B" w:rsidRPr="005A7D7A">
          <w:rPr>
            <w:rFonts w:ascii="Arial" w:hAnsi="Arial" w:cs="Arial"/>
            <w:noProof/>
            <w:webHidden/>
          </w:rPr>
          <w:fldChar w:fldCharType="end"/>
        </w:r>
      </w:hyperlink>
    </w:p>
    <w:p w14:paraId="3C8E7436" w14:textId="77777777" w:rsidR="006A743B" w:rsidRPr="005A7D7A" w:rsidRDefault="00157382" w:rsidP="006A743B">
      <w:pPr>
        <w:pStyle w:val="TOC3"/>
        <w:rPr>
          <w:rFonts w:ascii="Arial" w:eastAsiaTheme="minorEastAsia" w:hAnsi="Arial" w:cs="Arial"/>
          <w:noProof/>
          <w:sz w:val="22"/>
          <w:szCs w:val="22"/>
          <w:lang w:eastAsia="en-GB" w:bidi="ar-SA"/>
        </w:rPr>
      </w:pPr>
      <w:hyperlink w:anchor="_Toc474759489" w:history="1">
        <w:r w:rsidR="006A743B" w:rsidRPr="005A7D7A">
          <w:rPr>
            <w:rStyle w:val="Hyperlink"/>
            <w:rFonts w:ascii="Arial" w:hAnsi="Arial" w:cs="Arial"/>
            <w:noProof/>
          </w:rPr>
          <w:t>2.5.3</w:t>
        </w:r>
        <w:r w:rsidR="006A743B" w:rsidRPr="005A7D7A">
          <w:rPr>
            <w:rFonts w:ascii="Arial" w:eastAsiaTheme="minorEastAsia" w:hAnsi="Arial" w:cs="Arial"/>
            <w:noProof/>
            <w:sz w:val="22"/>
            <w:szCs w:val="22"/>
            <w:lang w:eastAsia="en-GB" w:bidi="ar-SA"/>
          </w:rPr>
          <w:tab/>
        </w:r>
        <w:r w:rsidR="006A743B" w:rsidRPr="005A7D7A">
          <w:rPr>
            <w:rStyle w:val="Hyperlink"/>
            <w:rFonts w:ascii="Arial" w:hAnsi="Arial" w:cs="Arial"/>
            <w:noProof/>
          </w:rPr>
          <w:t>Subsection 18(2) considerations</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_Toc474759489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9</w:t>
        </w:r>
        <w:r w:rsidR="006A743B" w:rsidRPr="005A7D7A">
          <w:rPr>
            <w:rFonts w:ascii="Arial" w:hAnsi="Arial" w:cs="Arial"/>
            <w:noProof/>
            <w:webHidden/>
          </w:rPr>
          <w:fldChar w:fldCharType="end"/>
        </w:r>
      </w:hyperlink>
    </w:p>
    <w:p w14:paraId="400D0BDE" w14:textId="77777777" w:rsidR="006A743B" w:rsidRPr="005A7D7A" w:rsidRDefault="00157382">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4759490" w:history="1">
        <w:r w:rsidR="006A743B" w:rsidRPr="005A7D7A">
          <w:rPr>
            <w:rStyle w:val="Hyperlink"/>
            <w:rFonts w:ascii="Arial" w:hAnsi="Arial" w:cs="Arial"/>
            <w:noProof/>
          </w:rPr>
          <w:t>6</w:t>
        </w:r>
        <w:r w:rsidR="006A743B" w:rsidRPr="005A7D7A">
          <w:rPr>
            <w:rFonts w:ascii="Arial" w:eastAsiaTheme="minorEastAsia" w:hAnsi="Arial" w:cs="Arial"/>
            <w:b w:val="0"/>
            <w:bCs w:val="0"/>
            <w:caps w:val="0"/>
            <w:noProof/>
            <w:sz w:val="22"/>
            <w:szCs w:val="22"/>
            <w:lang w:eastAsia="en-GB" w:bidi="ar-SA"/>
          </w:rPr>
          <w:tab/>
        </w:r>
        <w:r w:rsidR="006A743B" w:rsidRPr="005A7D7A">
          <w:rPr>
            <w:rStyle w:val="Hyperlink"/>
            <w:rFonts w:ascii="Arial" w:hAnsi="Arial" w:cs="Arial"/>
            <w:noProof/>
          </w:rPr>
          <w:t>References</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_Toc474759490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10</w:t>
        </w:r>
        <w:r w:rsidR="006A743B" w:rsidRPr="005A7D7A">
          <w:rPr>
            <w:rFonts w:ascii="Arial" w:hAnsi="Arial" w:cs="Arial"/>
            <w:noProof/>
            <w:webHidden/>
          </w:rPr>
          <w:fldChar w:fldCharType="end"/>
        </w:r>
      </w:hyperlink>
    </w:p>
    <w:p w14:paraId="4F8D0BBB" w14:textId="77777777" w:rsidR="006A743B" w:rsidRPr="005A7D7A" w:rsidRDefault="00157382">
      <w:pPr>
        <w:pStyle w:val="TOC2"/>
        <w:tabs>
          <w:tab w:val="right" w:leader="dot" w:pos="9060"/>
        </w:tabs>
        <w:rPr>
          <w:rFonts w:ascii="Arial" w:eastAsiaTheme="minorEastAsia" w:hAnsi="Arial" w:cs="Arial"/>
          <w:smallCaps w:val="0"/>
          <w:noProof/>
          <w:sz w:val="22"/>
          <w:szCs w:val="22"/>
          <w:lang w:eastAsia="en-GB" w:bidi="ar-SA"/>
        </w:rPr>
      </w:pPr>
      <w:hyperlink w:anchor="_Toc474759491" w:history="1">
        <w:r w:rsidR="006A743B" w:rsidRPr="005A7D7A">
          <w:rPr>
            <w:rStyle w:val="Hyperlink"/>
            <w:rFonts w:ascii="Arial" w:hAnsi="Arial" w:cs="Arial"/>
            <w:noProof/>
          </w:rPr>
          <w:t xml:space="preserve">Attachment A – Approved draft variation to the </w:t>
        </w:r>
        <w:r w:rsidR="006A743B" w:rsidRPr="005A7D7A">
          <w:rPr>
            <w:rStyle w:val="Hyperlink"/>
            <w:rFonts w:ascii="Arial" w:hAnsi="Arial" w:cs="Arial"/>
            <w:i/>
            <w:noProof/>
          </w:rPr>
          <w:t>Australia New Zealand Food Standards Code</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_Toc474759491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11</w:t>
        </w:r>
        <w:r w:rsidR="006A743B" w:rsidRPr="005A7D7A">
          <w:rPr>
            <w:rFonts w:ascii="Arial" w:hAnsi="Arial" w:cs="Arial"/>
            <w:noProof/>
            <w:webHidden/>
          </w:rPr>
          <w:fldChar w:fldCharType="end"/>
        </w:r>
      </w:hyperlink>
    </w:p>
    <w:p w14:paraId="7107D4BB" w14:textId="77777777" w:rsidR="006A743B" w:rsidRPr="005A7D7A" w:rsidRDefault="00157382">
      <w:pPr>
        <w:pStyle w:val="TOC2"/>
        <w:tabs>
          <w:tab w:val="right" w:leader="dot" w:pos="9060"/>
        </w:tabs>
        <w:rPr>
          <w:rFonts w:ascii="Arial" w:eastAsiaTheme="minorEastAsia" w:hAnsi="Arial" w:cs="Arial"/>
          <w:smallCaps w:val="0"/>
          <w:noProof/>
          <w:sz w:val="22"/>
          <w:szCs w:val="22"/>
          <w:lang w:eastAsia="en-GB" w:bidi="ar-SA"/>
        </w:rPr>
      </w:pPr>
      <w:hyperlink w:anchor="_Toc474759492" w:history="1">
        <w:r w:rsidR="006A743B" w:rsidRPr="005A7D7A">
          <w:rPr>
            <w:rStyle w:val="Hyperlink"/>
            <w:rFonts w:ascii="Arial" w:hAnsi="Arial" w:cs="Arial"/>
            <w:noProof/>
          </w:rPr>
          <w:t>Attachment B – Explanatory Statement</w:t>
        </w:r>
        <w:r w:rsidR="006A743B" w:rsidRPr="005A7D7A">
          <w:rPr>
            <w:rFonts w:ascii="Arial" w:hAnsi="Arial" w:cs="Arial"/>
            <w:noProof/>
            <w:webHidden/>
          </w:rPr>
          <w:tab/>
        </w:r>
        <w:r w:rsidR="006A743B" w:rsidRPr="005A7D7A">
          <w:rPr>
            <w:rFonts w:ascii="Arial" w:hAnsi="Arial" w:cs="Arial"/>
            <w:noProof/>
            <w:webHidden/>
          </w:rPr>
          <w:fldChar w:fldCharType="begin"/>
        </w:r>
        <w:r w:rsidR="006A743B" w:rsidRPr="005A7D7A">
          <w:rPr>
            <w:rFonts w:ascii="Arial" w:hAnsi="Arial" w:cs="Arial"/>
            <w:noProof/>
            <w:webHidden/>
          </w:rPr>
          <w:instrText xml:space="preserve"> PAGEREF _Toc474759492 \h </w:instrText>
        </w:r>
        <w:r w:rsidR="006A743B" w:rsidRPr="005A7D7A">
          <w:rPr>
            <w:rFonts w:ascii="Arial" w:hAnsi="Arial" w:cs="Arial"/>
            <w:noProof/>
            <w:webHidden/>
          </w:rPr>
        </w:r>
        <w:r w:rsidR="006A743B" w:rsidRPr="005A7D7A">
          <w:rPr>
            <w:rFonts w:ascii="Arial" w:hAnsi="Arial" w:cs="Arial"/>
            <w:noProof/>
            <w:webHidden/>
          </w:rPr>
          <w:fldChar w:fldCharType="separate"/>
        </w:r>
        <w:r w:rsidR="00073EF4">
          <w:rPr>
            <w:rFonts w:ascii="Arial" w:hAnsi="Arial" w:cs="Arial"/>
            <w:noProof/>
            <w:webHidden/>
          </w:rPr>
          <w:t>13</w:t>
        </w:r>
        <w:r w:rsidR="006A743B" w:rsidRPr="005A7D7A">
          <w:rPr>
            <w:rFonts w:ascii="Arial" w:hAnsi="Arial" w:cs="Arial"/>
            <w:noProof/>
            <w:webHidden/>
          </w:rPr>
          <w:fldChar w:fldCharType="end"/>
        </w:r>
      </w:hyperlink>
    </w:p>
    <w:p w14:paraId="1CF0BB98" w14:textId="77777777" w:rsidR="0012388D" w:rsidRDefault="00B55714" w:rsidP="003225EA">
      <w:pPr>
        <w:widowControl/>
      </w:pPr>
      <w:r w:rsidRPr="005A7D7A">
        <w:rPr>
          <w:rFonts w:cs="Arial"/>
          <w:sz w:val="20"/>
          <w:szCs w:val="20"/>
        </w:rPr>
        <w:fldChar w:fldCharType="end"/>
      </w:r>
    </w:p>
    <w:p w14:paraId="5A596D5D" w14:textId="77777777" w:rsidR="007F7BF7" w:rsidRDefault="007F7BF7" w:rsidP="003225EA">
      <w:pPr>
        <w:widowControl/>
      </w:pPr>
    </w:p>
    <w:p w14:paraId="33C57D00" w14:textId="77777777" w:rsidR="00A671E6" w:rsidRPr="000B427A" w:rsidRDefault="00A671E6" w:rsidP="003225EA">
      <w:pPr>
        <w:widowControl/>
        <w:rPr>
          <w:b/>
          <w:bCs/>
        </w:rPr>
      </w:pPr>
      <w:r w:rsidRPr="000B427A">
        <w:rPr>
          <w:b/>
          <w:bCs/>
        </w:rPr>
        <w:t>S</w:t>
      </w:r>
      <w:r w:rsidR="007C22CB" w:rsidRPr="000B427A">
        <w:rPr>
          <w:b/>
          <w:bCs/>
        </w:rPr>
        <w:t>upporting</w:t>
      </w:r>
      <w:r w:rsidR="00224E3B" w:rsidRPr="000B427A">
        <w:rPr>
          <w:b/>
          <w:bCs/>
        </w:rPr>
        <w:t xml:space="preserve"> documents</w:t>
      </w:r>
      <w:r w:rsidRPr="000B427A">
        <w:rPr>
          <w:b/>
          <w:bCs/>
        </w:rPr>
        <w:t xml:space="preserve"> </w:t>
      </w:r>
    </w:p>
    <w:p w14:paraId="3A593846" w14:textId="77777777" w:rsidR="00A671E6" w:rsidRPr="0089264A" w:rsidRDefault="00A671E6" w:rsidP="003225EA">
      <w:pPr>
        <w:widowControl/>
        <w:rPr>
          <w:szCs w:val="22"/>
        </w:rPr>
      </w:pPr>
    </w:p>
    <w:p w14:paraId="2E961220" w14:textId="04FE8636" w:rsidR="00C111C3" w:rsidRPr="00007CE2" w:rsidRDefault="007A53BF" w:rsidP="003225EA">
      <w:pPr>
        <w:widowControl/>
        <w:rPr>
          <w:rFonts w:cs="Arial"/>
          <w:color w:val="000000" w:themeColor="text1"/>
          <w:szCs w:val="22"/>
        </w:rPr>
      </w:pPr>
      <w:r w:rsidRPr="0089264A">
        <w:rPr>
          <w:szCs w:val="22"/>
        </w:rPr>
        <w:t xml:space="preserve">The </w:t>
      </w:r>
      <w:hyperlink r:id="rId18" w:history="1">
        <w:r w:rsidR="00511B93">
          <w:rPr>
            <w:rStyle w:val="Hyperlink"/>
            <w:szCs w:val="22"/>
          </w:rPr>
          <w:t>following documents</w:t>
        </w:r>
      </w:hyperlink>
      <w:r w:rsidR="00511B93">
        <w:rPr>
          <w:rStyle w:val="FootnoteReference"/>
          <w:szCs w:val="22"/>
        </w:rPr>
        <w:footnoteReference w:id="2"/>
      </w:r>
      <w:r w:rsidR="00511B93">
        <w:rPr>
          <w:szCs w:val="22"/>
        </w:rPr>
        <w:t xml:space="preserve"> </w:t>
      </w:r>
      <w:r w:rsidRPr="0063219C">
        <w:t xml:space="preserve">which informed the assessment of this </w:t>
      </w:r>
      <w:r w:rsidR="00865E8D" w:rsidRPr="0063219C">
        <w:t>Application</w:t>
      </w:r>
      <w:r w:rsidRPr="00706E85">
        <w:rPr>
          <w:szCs w:val="22"/>
        </w:rPr>
        <w:t xml:space="preserve"> are </w:t>
      </w:r>
      <w:r w:rsidRPr="0089264A">
        <w:rPr>
          <w:szCs w:val="22"/>
        </w:rPr>
        <w:t xml:space="preserve">available on the FSANZ </w:t>
      </w:r>
      <w:r w:rsidRPr="00007CE2">
        <w:rPr>
          <w:color w:val="000000" w:themeColor="text1"/>
          <w:szCs w:val="22"/>
        </w:rPr>
        <w:t>webs</w:t>
      </w:r>
      <w:r w:rsidR="00725FAB" w:rsidRPr="00007CE2">
        <w:rPr>
          <w:color w:val="000000" w:themeColor="text1"/>
          <w:szCs w:val="22"/>
        </w:rPr>
        <w:t>ite.</w:t>
      </w:r>
    </w:p>
    <w:p w14:paraId="42E76C40" w14:textId="77777777" w:rsidR="00C111C3" w:rsidRDefault="00C111C3" w:rsidP="003225EA">
      <w:pPr>
        <w:widowControl/>
        <w:rPr>
          <w:rFonts w:cs="Arial"/>
          <w:color w:val="676767"/>
          <w:szCs w:val="22"/>
        </w:rPr>
      </w:pPr>
    </w:p>
    <w:p w14:paraId="10505536" w14:textId="36DD2A88" w:rsidR="007A53BF" w:rsidRPr="00FC4849" w:rsidRDefault="007A53BF" w:rsidP="003225EA">
      <w:pPr>
        <w:widowControl/>
        <w:ind w:left="1134" w:hanging="1134"/>
      </w:pPr>
      <w:r w:rsidRPr="00FC4849">
        <w:t>SD1</w:t>
      </w:r>
      <w:r w:rsidRPr="00FC4849">
        <w:tab/>
      </w:r>
      <w:r w:rsidR="00FC4849" w:rsidRPr="00FC4849">
        <w:t>Risk and technical assessment</w:t>
      </w:r>
    </w:p>
    <w:p w14:paraId="5C1543F6" w14:textId="3A46A3CF" w:rsidR="00FC4849" w:rsidRPr="00FC4849" w:rsidRDefault="00FC4849" w:rsidP="003225EA">
      <w:pPr>
        <w:widowControl/>
        <w:ind w:left="1134" w:hanging="1134"/>
      </w:pPr>
      <w:r w:rsidRPr="00FC4849">
        <w:t>SD2</w:t>
      </w:r>
      <w:r w:rsidRPr="00FC4849">
        <w:tab/>
        <w:t>Assessment against the Policy Guidelines</w:t>
      </w:r>
    </w:p>
    <w:p w14:paraId="0E746E66" w14:textId="28F7F847" w:rsidR="00FC4849" w:rsidRPr="00FC4849" w:rsidRDefault="00FC4849" w:rsidP="003225EA">
      <w:pPr>
        <w:widowControl/>
        <w:ind w:left="1134" w:hanging="1134"/>
      </w:pPr>
    </w:p>
    <w:p w14:paraId="49A70F04" w14:textId="77777777" w:rsidR="00FC4849" w:rsidRPr="003A7725" w:rsidRDefault="00FC4849" w:rsidP="003225EA">
      <w:pPr>
        <w:widowControl/>
        <w:ind w:left="1134" w:hanging="1134"/>
        <w:rPr>
          <w:color w:val="FF0000"/>
        </w:rPr>
      </w:pPr>
    </w:p>
    <w:p w14:paraId="74E1C232" w14:textId="77777777" w:rsidR="003C4969" w:rsidRPr="00CA5734" w:rsidRDefault="00D15A08" w:rsidP="003225EA">
      <w:pPr>
        <w:widowControl/>
        <w:spacing w:line="280" w:lineRule="exact"/>
        <w:ind w:left="851" w:hanging="851"/>
        <w:outlineLvl w:val="3"/>
        <w:rPr>
          <w:vanish/>
          <w:color w:val="FF0000"/>
        </w:rPr>
      </w:pPr>
      <w:r w:rsidRPr="00CA5734">
        <w:br w:type="page"/>
      </w:r>
    </w:p>
    <w:p w14:paraId="13E3E03E" w14:textId="77777777" w:rsidR="007A53BF" w:rsidRPr="007A53BF" w:rsidRDefault="007A53BF" w:rsidP="003225EA">
      <w:pPr>
        <w:pStyle w:val="Heading1"/>
        <w:widowControl/>
      </w:pPr>
      <w:bookmarkStart w:id="1" w:name="_Toc286391001"/>
      <w:bookmarkStart w:id="2" w:name="_Toc300933414"/>
      <w:bookmarkStart w:id="3" w:name="_Toc370223463"/>
      <w:bookmarkStart w:id="4" w:name="_Toc473297171"/>
      <w:bookmarkStart w:id="5" w:name="_Toc474759469"/>
      <w:bookmarkStart w:id="6" w:name="_Toc11735627"/>
      <w:bookmarkStart w:id="7" w:name="_Toc29883110"/>
      <w:bookmarkStart w:id="8" w:name="_Toc41906797"/>
      <w:bookmarkStart w:id="9" w:name="_Toc41907544"/>
      <w:bookmarkStart w:id="10" w:name="_Toc120358575"/>
      <w:r w:rsidRPr="007A53BF">
        <w:lastRenderedPageBreak/>
        <w:t>Executive summary</w:t>
      </w:r>
      <w:bookmarkEnd w:id="1"/>
      <w:bookmarkEnd w:id="2"/>
      <w:bookmarkEnd w:id="3"/>
      <w:bookmarkEnd w:id="4"/>
      <w:bookmarkEnd w:id="5"/>
    </w:p>
    <w:p w14:paraId="31C3A3C2" w14:textId="059AE381" w:rsidR="00E81B94" w:rsidRPr="00B21422" w:rsidRDefault="00E81B94" w:rsidP="003225EA">
      <w:pPr>
        <w:widowControl/>
        <w:ind w:right="-286"/>
        <w:rPr>
          <w:szCs w:val="22"/>
        </w:rPr>
      </w:pPr>
      <w:r w:rsidRPr="00B21422">
        <w:rPr>
          <w:lang w:bidi="ar-SA"/>
        </w:rPr>
        <w:t xml:space="preserve">FSANZ assessed an Application from </w:t>
      </w:r>
      <w:r w:rsidRPr="00B21422">
        <w:rPr>
          <w:rFonts w:cs="Arial"/>
          <w:szCs w:val="22"/>
        </w:rPr>
        <w:t xml:space="preserve">DSM </w:t>
      </w:r>
      <w:r w:rsidRPr="00B21422">
        <w:rPr>
          <w:rFonts w:cs="Arial"/>
          <w:szCs w:val="22"/>
          <w:lang w:eastAsia="en-GB" w:bidi="ar-SA"/>
        </w:rPr>
        <w:t xml:space="preserve">Nutritional Products </w:t>
      </w:r>
      <w:r w:rsidRPr="00B21422">
        <w:rPr>
          <w:lang w:bidi="ar-SA"/>
        </w:rPr>
        <w:t>that s</w:t>
      </w:r>
      <w:r w:rsidR="00706E85">
        <w:rPr>
          <w:lang w:bidi="ar-SA"/>
        </w:rPr>
        <w:t xml:space="preserve">ought </w:t>
      </w:r>
      <w:r w:rsidRPr="00B21422">
        <w:rPr>
          <w:lang w:eastAsia="en-AU"/>
        </w:rPr>
        <w:t xml:space="preserve">approval of an additional, replacement or alternative oil source of </w:t>
      </w:r>
      <w:r w:rsidR="00706E85">
        <w:rPr>
          <w:lang w:eastAsia="en-AU"/>
        </w:rPr>
        <w:t>docosahexaenoic acid (</w:t>
      </w:r>
      <w:r w:rsidRPr="00B21422">
        <w:rPr>
          <w:lang w:eastAsia="en-AU"/>
        </w:rPr>
        <w:t>DHA</w:t>
      </w:r>
      <w:r w:rsidR="00706E85">
        <w:rPr>
          <w:lang w:eastAsia="en-AU"/>
        </w:rPr>
        <w:t>)</w:t>
      </w:r>
      <w:r w:rsidRPr="00B21422">
        <w:rPr>
          <w:lang w:eastAsia="en-AU"/>
        </w:rPr>
        <w:t xml:space="preserve"> for use in infant formula products. The DHA oil is </w:t>
      </w:r>
      <w:r w:rsidRPr="00B21422">
        <w:rPr>
          <w:szCs w:val="22"/>
        </w:rPr>
        <w:t xml:space="preserve">derived from a new production strain of </w:t>
      </w:r>
      <w:r w:rsidRPr="00B21422">
        <w:rPr>
          <w:i/>
          <w:lang w:eastAsia="en-AU" w:bidi="ar-SA"/>
        </w:rPr>
        <w:t>Schizochytrium</w:t>
      </w:r>
      <w:r w:rsidRPr="00B21422">
        <w:rPr>
          <w:lang w:eastAsia="en-AU" w:bidi="ar-SA"/>
        </w:rPr>
        <w:t xml:space="preserve"> sp.</w:t>
      </w:r>
      <w:r w:rsidRPr="00B21422">
        <w:rPr>
          <w:szCs w:val="22"/>
        </w:rPr>
        <w:t xml:space="preserve"> known as </w:t>
      </w:r>
      <w:r w:rsidRPr="00B21422">
        <w:t>American Type Cell Culture (</w:t>
      </w:r>
      <w:r w:rsidRPr="00B21422">
        <w:rPr>
          <w:szCs w:val="22"/>
        </w:rPr>
        <w:t>ATCC) PTA-96</w:t>
      </w:r>
      <w:r w:rsidR="003502B8">
        <w:rPr>
          <w:szCs w:val="22"/>
        </w:rPr>
        <w:t>9</w:t>
      </w:r>
      <w:r w:rsidRPr="00B21422">
        <w:rPr>
          <w:szCs w:val="22"/>
        </w:rPr>
        <w:t>5</w:t>
      </w:r>
      <w:r w:rsidRPr="00B21422">
        <w:rPr>
          <w:lang w:eastAsia="en-AU"/>
        </w:rPr>
        <w:t>.</w:t>
      </w:r>
      <w:r w:rsidR="00A63A66" w:rsidRPr="00B21422">
        <w:rPr>
          <w:szCs w:val="22"/>
        </w:rPr>
        <w:t xml:space="preserve"> </w:t>
      </w:r>
      <w:r w:rsidRPr="00B21422">
        <w:rPr>
          <w:szCs w:val="22"/>
        </w:rPr>
        <w:t>For ease of reading, the oil is referred to as DHA-B</w:t>
      </w:r>
      <w:r w:rsidR="00A63A66" w:rsidRPr="00B21422">
        <w:rPr>
          <w:szCs w:val="22"/>
        </w:rPr>
        <w:t xml:space="preserve"> throughout this report</w:t>
      </w:r>
      <w:r w:rsidRPr="00B21422">
        <w:rPr>
          <w:szCs w:val="22"/>
        </w:rPr>
        <w:t xml:space="preserve">. </w:t>
      </w:r>
    </w:p>
    <w:p w14:paraId="396E0E09" w14:textId="77777777" w:rsidR="00E81B94" w:rsidRPr="00B21422" w:rsidRDefault="00E81B94" w:rsidP="003225EA">
      <w:pPr>
        <w:widowControl/>
        <w:ind w:right="-286"/>
        <w:rPr>
          <w:szCs w:val="22"/>
        </w:rPr>
      </w:pPr>
    </w:p>
    <w:p w14:paraId="4E1D50D3" w14:textId="41CAA455" w:rsidR="00E81B94" w:rsidRPr="00B21422" w:rsidRDefault="000B2E48" w:rsidP="003225EA">
      <w:pPr>
        <w:widowControl/>
        <w:ind w:right="-286"/>
      </w:pPr>
      <w:r w:rsidRPr="00B21422">
        <w:rPr>
          <w:szCs w:val="22"/>
        </w:rPr>
        <w:t>DHA-B wa</w:t>
      </w:r>
      <w:r w:rsidR="00E81B94" w:rsidRPr="00B21422">
        <w:rPr>
          <w:szCs w:val="22"/>
        </w:rPr>
        <w:t>s proposed to be added to infant formula products at levels consistent with the current uses of DHA oils</w:t>
      </w:r>
      <w:r w:rsidRPr="00B21422">
        <w:rPr>
          <w:szCs w:val="22"/>
        </w:rPr>
        <w:t>;</w:t>
      </w:r>
      <w:r w:rsidR="00E81B94" w:rsidRPr="00B21422">
        <w:rPr>
          <w:szCs w:val="22"/>
        </w:rPr>
        <w:t xml:space="preserve"> and within the 1% maximum level of omega-3 long chain polyunsaturated fatty acids (n-3 LC-PUFAs) </w:t>
      </w:r>
      <w:r w:rsidRPr="00B21422">
        <w:rPr>
          <w:szCs w:val="22"/>
        </w:rPr>
        <w:t xml:space="preserve">permitted </w:t>
      </w:r>
      <w:r w:rsidR="00E81B94" w:rsidRPr="00B21422">
        <w:rPr>
          <w:szCs w:val="22"/>
        </w:rPr>
        <w:t xml:space="preserve">in Standard 2.9.1 in the </w:t>
      </w:r>
      <w:r w:rsidR="00E81B94" w:rsidRPr="00B21422">
        <w:rPr>
          <w:i/>
          <w:szCs w:val="22"/>
        </w:rPr>
        <w:t>Australia New Zealand Food Standards Code</w:t>
      </w:r>
      <w:r w:rsidR="00E81B94" w:rsidRPr="00B21422">
        <w:rPr>
          <w:szCs w:val="22"/>
        </w:rPr>
        <w:t xml:space="preserve">. </w:t>
      </w:r>
      <w:r w:rsidR="00E81B94" w:rsidRPr="00B21422">
        <w:t>Several novel oils derived from marine micro-algae are already permitted as optional ingredient</w:t>
      </w:r>
      <w:r w:rsidR="00D711E3" w:rsidRPr="00B21422">
        <w:t>s</w:t>
      </w:r>
      <w:r w:rsidR="00E81B94" w:rsidRPr="00B21422">
        <w:t xml:space="preserve"> in infant formula products. Thus, </w:t>
      </w:r>
      <w:r w:rsidR="00E81B94" w:rsidRPr="00B21422">
        <w:rPr>
          <w:bCs/>
        </w:rPr>
        <w:t xml:space="preserve">FSANZ </w:t>
      </w:r>
      <w:r w:rsidR="0044516C">
        <w:rPr>
          <w:bCs/>
        </w:rPr>
        <w:t>had</w:t>
      </w:r>
      <w:r w:rsidR="00E81B94" w:rsidRPr="00B21422">
        <w:rPr>
          <w:bCs/>
        </w:rPr>
        <w:t xml:space="preserve"> previously</w:t>
      </w:r>
      <w:r w:rsidR="00E81B94" w:rsidRPr="00B21422">
        <w:t xml:space="preserve"> concluded that the composition of oil derived from </w:t>
      </w:r>
      <w:r w:rsidR="00E81B94" w:rsidRPr="00B21422">
        <w:rPr>
          <w:i/>
          <w:iCs/>
        </w:rPr>
        <w:t>Schizochytrium</w:t>
      </w:r>
      <w:r w:rsidR="00E81B94" w:rsidRPr="00B21422">
        <w:t xml:space="preserve"> sp. is comparable to other traditional sources of DHA. However, since then, the Forum on Food Regulation has issued the </w:t>
      </w:r>
      <w:r w:rsidR="00E81B94" w:rsidRPr="00B21422">
        <w:rPr>
          <w:i/>
          <w:szCs w:val="22"/>
        </w:rPr>
        <w:t>Ministerial Policy Guideline on the Regulation of Infant Formula Products</w:t>
      </w:r>
      <w:r w:rsidR="00E81B94" w:rsidRPr="00B21422">
        <w:rPr>
          <w:szCs w:val="22"/>
        </w:rPr>
        <w:t xml:space="preserve">. </w:t>
      </w:r>
      <w:r w:rsidR="00E81B94" w:rsidRPr="00B21422">
        <w:t xml:space="preserve">FSANZ </w:t>
      </w:r>
      <w:r w:rsidRPr="00B21422">
        <w:t xml:space="preserve">therefore considered </w:t>
      </w:r>
      <w:r w:rsidR="00E81B94" w:rsidRPr="00B21422">
        <w:t>that guidance as part of the assessment of this Application.</w:t>
      </w:r>
    </w:p>
    <w:p w14:paraId="55B29B86" w14:textId="77777777" w:rsidR="00E81B94" w:rsidRPr="00B21422" w:rsidRDefault="00E81B94" w:rsidP="003225EA">
      <w:pPr>
        <w:widowControl/>
      </w:pPr>
    </w:p>
    <w:p w14:paraId="40053A99" w14:textId="0F35EFBB" w:rsidR="00E81B94" w:rsidRPr="00B21422" w:rsidRDefault="00E81B94" w:rsidP="003225EA">
      <w:pPr>
        <w:widowControl/>
      </w:pPr>
      <w:r w:rsidRPr="00B21422">
        <w:rPr>
          <w:lang w:bidi="ar-SA"/>
        </w:rPr>
        <w:t>FSANZ assessed the equivalence of t</w:t>
      </w:r>
      <w:r w:rsidRPr="00B21422">
        <w:rPr>
          <w:szCs w:val="22"/>
        </w:rPr>
        <w:t xml:space="preserve">he composition of the new strain of </w:t>
      </w:r>
      <w:r w:rsidRPr="00B21422">
        <w:rPr>
          <w:i/>
          <w:iCs/>
          <w:szCs w:val="22"/>
        </w:rPr>
        <w:t>Schizochytrium</w:t>
      </w:r>
      <w:r w:rsidRPr="00B21422">
        <w:rPr>
          <w:szCs w:val="22"/>
        </w:rPr>
        <w:t xml:space="preserve"> sp. micro-algae and the DHA-B oil in the context of current </w:t>
      </w:r>
      <w:r w:rsidR="00AC7AB4">
        <w:rPr>
          <w:szCs w:val="22"/>
        </w:rPr>
        <w:t>prescribed</w:t>
      </w:r>
      <w:r w:rsidRPr="00B21422">
        <w:rPr>
          <w:szCs w:val="22"/>
        </w:rPr>
        <w:t xml:space="preserve"> levels in infant formula products only. </w:t>
      </w:r>
      <w:r w:rsidRPr="00B21422">
        <w:t>The risk and technical assessment identifie</w:t>
      </w:r>
      <w:r w:rsidR="000B2E48" w:rsidRPr="00B21422">
        <w:t>d</w:t>
      </w:r>
      <w:r w:rsidRPr="00B21422">
        <w:t xml:space="preserve"> no risk to infant health and safety </w:t>
      </w:r>
      <w:r w:rsidR="000B2E48" w:rsidRPr="00B21422">
        <w:t xml:space="preserve">from </w:t>
      </w:r>
      <w:r w:rsidRPr="00B21422">
        <w:t xml:space="preserve">the use of DHA-B oil as an alternative to other approved sources of DHA </w:t>
      </w:r>
      <w:r w:rsidR="00AC7AB4">
        <w:t xml:space="preserve">oil </w:t>
      </w:r>
      <w:r w:rsidRPr="00B21422">
        <w:t xml:space="preserve">in infant formula products, noting the maximum level of n-3 LC-PUFA permitted in Standard 2.9.1. </w:t>
      </w:r>
    </w:p>
    <w:p w14:paraId="23A5CE09" w14:textId="77777777" w:rsidR="00E81B94" w:rsidRPr="00B21422" w:rsidRDefault="00E81B94" w:rsidP="003225EA">
      <w:pPr>
        <w:widowControl/>
      </w:pPr>
    </w:p>
    <w:p w14:paraId="2ADDE991" w14:textId="53B59E36" w:rsidR="00E81B94" w:rsidRPr="00B21422" w:rsidRDefault="00E81B94" w:rsidP="003225EA">
      <w:pPr>
        <w:widowControl/>
        <w:rPr>
          <w:lang w:bidi="ar-SA"/>
        </w:rPr>
      </w:pPr>
      <w:r w:rsidRPr="00B21422">
        <w:t>FSANZ conclude</w:t>
      </w:r>
      <w:r w:rsidR="00AC084B" w:rsidRPr="00B21422">
        <w:t>d</w:t>
      </w:r>
      <w:r w:rsidRPr="00B21422">
        <w:t xml:space="preserve"> that DHA-B is suitable as an </w:t>
      </w:r>
      <w:r w:rsidR="00AC7AB4">
        <w:t>additional or alternative</w:t>
      </w:r>
      <w:r w:rsidRPr="00B21422">
        <w:t xml:space="preserve"> </w:t>
      </w:r>
      <w:r w:rsidRPr="00B21422">
        <w:rPr>
          <w:szCs w:val="22"/>
        </w:rPr>
        <w:t xml:space="preserve">source of DHA-rich algal oils for use in infant formula products. </w:t>
      </w:r>
      <w:r w:rsidRPr="00B21422">
        <w:t xml:space="preserve">Therefore, </w:t>
      </w:r>
      <w:r w:rsidRPr="006A56AD">
        <w:t xml:space="preserve">FSANZ </w:t>
      </w:r>
      <w:r w:rsidR="00AC084B" w:rsidRPr="006A56AD">
        <w:t xml:space="preserve">approved </w:t>
      </w:r>
      <w:r w:rsidRPr="006A56AD">
        <w:t>the</w:t>
      </w:r>
      <w:r w:rsidRPr="00B21422">
        <w:t xml:space="preserve"> use of DHA-B. Schedule 25</w:t>
      </w:r>
      <w:r w:rsidRPr="00B21422">
        <w:rPr>
          <w:i/>
        </w:rPr>
        <w:t xml:space="preserve"> </w:t>
      </w:r>
      <w:r w:rsidRPr="00B21422">
        <w:t>– Permitted novel foods and</w:t>
      </w:r>
      <w:r w:rsidRPr="00B21422">
        <w:rPr>
          <w:i/>
        </w:rPr>
        <w:t xml:space="preserve"> </w:t>
      </w:r>
      <w:r w:rsidRPr="00B21422">
        <w:t>Schedule 3</w:t>
      </w:r>
      <w:r w:rsidRPr="00B21422">
        <w:rPr>
          <w:i/>
        </w:rPr>
        <w:t xml:space="preserve"> – </w:t>
      </w:r>
      <w:r w:rsidRPr="00B21422">
        <w:t>Identity and purity</w:t>
      </w:r>
      <w:r w:rsidR="00D6118B" w:rsidRPr="00B21422">
        <w:t xml:space="preserve"> will be amended to include</w:t>
      </w:r>
      <w:r w:rsidRPr="00B21422">
        <w:rPr>
          <w:lang w:bidi="ar-SA"/>
        </w:rPr>
        <w:t>:</w:t>
      </w:r>
    </w:p>
    <w:p w14:paraId="1E561F4B" w14:textId="77777777" w:rsidR="00E81B94" w:rsidRPr="00B21422" w:rsidRDefault="00E81B94" w:rsidP="003225EA">
      <w:pPr>
        <w:widowControl/>
        <w:rPr>
          <w:lang w:bidi="ar-SA"/>
        </w:rPr>
      </w:pPr>
    </w:p>
    <w:p w14:paraId="68FB3BE3" w14:textId="77777777" w:rsidR="00E81B94" w:rsidRPr="003225EA" w:rsidRDefault="00E81B94" w:rsidP="003225EA">
      <w:pPr>
        <w:pStyle w:val="FSBullet1"/>
      </w:pPr>
      <w:r w:rsidRPr="003225EA">
        <w:t xml:space="preserve">oil derived from </w:t>
      </w:r>
      <w:r w:rsidRPr="0063219C">
        <w:rPr>
          <w:i/>
        </w:rPr>
        <w:t>Schizochytrium</w:t>
      </w:r>
      <w:r w:rsidRPr="00B21422">
        <w:rPr>
          <w:lang w:eastAsia="en-AU"/>
        </w:rPr>
        <w:t xml:space="preserve"> sp.</w:t>
      </w:r>
      <w:r w:rsidRPr="003225EA">
        <w:t xml:space="preserve"> (ATCC PTA-9695) as a permitted novel food for use in infant formula products only</w:t>
      </w:r>
    </w:p>
    <w:p w14:paraId="093563C9" w14:textId="77777777" w:rsidR="00E81B94" w:rsidRPr="003225EA" w:rsidRDefault="00E81B94" w:rsidP="003225EA">
      <w:pPr>
        <w:pStyle w:val="FSBullet1"/>
      </w:pPr>
      <w:r w:rsidRPr="003225EA">
        <w:t xml:space="preserve">a specification for oil derived from </w:t>
      </w:r>
      <w:r w:rsidRPr="0063219C">
        <w:rPr>
          <w:i/>
        </w:rPr>
        <w:t>Schizochytrium</w:t>
      </w:r>
      <w:r w:rsidRPr="003225EA">
        <w:t xml:space="preserve"> sp. (ATCC PTA-9695).</w:t>
      </w:r>
    </w:p>
    <w:p w14:paraId="6041D435" w14:textId="77777777" w:rsidR="00E81B94" w:rsidRPr="00B21422" w:rsidRDefault="00E81B94" w:rsidP="003225EA">
      <w:pPr>
        <w:pStyle w:val="FSBullet1"/>
        <w:numPr>
          <w:ilvl w:val="0"/>
          <w:numId w:val="0"/>
        </w:numPr>
        <w:ind w:left="567"/>
      </w:pPr>
    </w:p>
    <w:p w14:paraId="5876EC50" w14:textId="77777777" w:rsidR="00E81B94" w:rsidRPr="00E81B94" w:rsidRDefault="00E81B94" w:rsidP="003225EA">
      <w:pPr>
        <w:widowControl/>
        <w:rPr>
          <w:color w:val="00B050"/>
        </w:rPr>
      </w:pPr>
      <w:r w:rsidRPr="00E81B94">
        <w:rPr>
          <w:color w:val="00B050"/>
        </w:rPr>
        <w:br w:type="page"/>
      </w:r>
    </w:p>
    <w:p w14:paraId="7C2F3013" w14:textId="77777777" w:rsidR="007A53BF" w:rsidRPr="007A53BF" w:rsidRDefault="007A53BF" w:rsidP="003225EA">
      <w:pPr>
        <w:pStyle w:val="Heading1"/>
        <w:widowControl/>
      </w:pPr>
      <w:bookmarkStart w:id="11" w:name="_Toc300933417"/>
      <w:bookmarkStart w:id="12" w:name="_Toc370223464"/>
      <w:bookmarkStart w:id="13" w:name="_Toc473297172"/>
      <w:bookmarkStart w:id="14" w:name="_Toc474759470"/>
      <w:r w:rsidRPr="007A53BF">
        <w:lastRenderedPageBreak/>
        <w:t>1</w:t>
      </w:r>
      <w:r w:rsidRPr="007A53BF">
        <w:tab/>
        <w:t>Introduction</w:t>
      </w:r>
      <w:bookmarkEnd w:id="11"/>
      <w:bookmarkEnd w:id="12"/>
      <w:bookmarkEnd w:id="13"/>
      <w:bookmarkEnd w:id="14"/>
    </w:p>
    <w:p w14:paraId="39543626" w14:textId="158949D8" w:rsidR="00E81B94" w:rsidRPr="00B21422" w:rsidRDefault="00E81B94" w:rsidP="003225EA">
      <w:pPr>
        <w:widowControl/>
      </w:pPr>
      <w:bookmarkStart w:id="15" w:name="_Toc300761890"/>
      <w:bookmarkStart w:id="16" w:name="_Toc300933419"/>
      <w:bookmarkStart w:id="17" w:name="_Toc370223465"/>
      <w:r w:rsidRPr="00B21422">
        <w:t>Several micro-algal oils that are sources of omega-3 long chain polyunsaturated fatty acids (n-3 LC-PUFA) are permitted as novel foods in the Australia New Zealand Food Standards Code (the Code). O</w:t>
      </w:r>
      <w:r w:rsidRPr="00B21422">
        <w:rPr>
          <w:rFonts w:eastAsia="Arial Unicode MS"/>
          <w:szCs w:val="22"/>
          <w:lang w:bidi="ar-SA"/>
        </w:rPr>
        <w:t xml:space="preserve">ils containing </w:t>
      </w:r>
      <w:r w:rsidR="008F0128">
        <w:rPr>
          <w:lang w:eastAsia="en-AU"/>
        </w:rPr>
        <w:t>docosahexaenoic acid (</w:t>
      </w:r>
      <w:r w:rsidRPr="00B21422">
        <w:rPr>
          <w:rFonts w:eastAsia="Arial Unicode MS"/>
          <w:szCs w:val="22"/>
          <w:lang w:bidi="ar-SA"/>
        </w:rPr>
        <w:t>DHA</w:t>
      </w:r>
      <w:r w:rsidR="008F0128">
        <w:rPr>
          <w:rFonts w:eastAsia="Arial Unicode MS"/>
          <w:szCs w:val="22"/>
          <w:lang w:bidi="ar-SA"/>
        </w:rPr>
        <w:t>)</w:t>
      </w:r>
      <w:r w:rsidRPr="00B21422">
        <w:rPr>
          <w:rFonts w:eastAsia="Arial Unicode MS"/>
          <w:szCs w:val="22"/>
          <w:lang w:bidi="ar-SA"/>
        </w:rPr>
        <w:t xml:space="preserve"> have been used in the manufacture of infant formula products since the mid</w:t>
      </w:r>
      <w:r w:rsidR="00A17318">
        <w:rPr>
          <w:rFonts w:eastAsia="Arial Unicode MS"/>
          <w:szCs w:val="22"/>
          <w:lang w:bidi="ar-SA"/>
        </w:rPr>
        <w:t>-</w:t>
      </w:r>
      <w:r w:rsidRPr="00B21422">
        <w:rPr>
          <w:rFonts w:eastAsia="Arial Unicode MS"/>
          <w:szCs w:val="22"/>
          <w:lang w:bidi="ar-SA"/>
        </w:rPr>
        <w:t xml:space="preserve">1990s. </w:t>
      </w:r>
      <w:r w:rsidRPr="00B21422">
        <w:rPr>
          <w:bCs/>
        </w:rPr>
        <w:t xml:space="preserve">FSANZ </w:t>
      </w:r>
      <w:r w:rsidR="007871AD">
        <w:rPr>
          <w:bCs/>
        </w:rPr>
        <w:t>had</w:t>
      </w:r>
      <w:r w:rsidRPr="00B21422">
        <w:rPr>
          <w:bCs/>
        </w:rPr>
        <w:t xml:space="preserve"> previously</w:t>
      </w:r>
      <w:r w:rsidRPr="00B21422">
        <w:t xml:space="preserve"> concluded that the composition of oil derived from </w:t>
      </w:r>
      <w:r w:rsidRPr="00B21422">
        <w:rPr>
          <w:i/>
          <w:iCs/>
        </w:rPr>
        <w:t>Schizochytrium</w:t>
      </w:r>
      <w:r w:rsidRPr="00B21422">
        <w:t xml:space="preserve"> sp. is comparable to other traditional sources of DHA (ANZFA, 2002). </w:t>
      </w:r>
    </w:p>
    <w:p w14:paraId="10C57DD5" w14:textId="57127B2A" w:rsidR="007A53BF" w:rsidRPr="00B21422" w:rsidRDefault="007A53BF" w:rsidP="003225EA">
      <w:pPr>
        <w:pStyle w:val="Heading2"/>
        <w:widowControl/>
      </w:pPr>
      <w:bookmarkStart w:id="18" w:name="_Toc473297173"/>
      <w:bookmarkStart w:id="19" w:name="_Toc474759471"/>
      <w:r w:rsidRPr="00B21422">
        <w:t>1.1</w:t>
      </w:r>
      <w:r w:rsidRPr="00B21422">
        <w:tab/>
        <w:t>The Applicant</w:t>
      </w:r>
      <w:bookmarkEnd w:id="15"/>
      <w:bookmarkEnd w:id="18"/>
      <w:bookmarkEnd w:id="19"/>
      <w:r w:rsidRPr="00B21422">
        <w:t xml:space="preserve"> </w:t>
      </w:r>
      <w:bookmarkEnd w:id="16"/>
      <w:bookmarkEnd w:id="17"/>
    </w:p>
    <w:p w14:paraId="03790264" w14:textId="77777777" w:rsidR="00E81B94" w:rsidRPr="00B21422" w:rsidRDefault="00E81B94" w:rsidP="003225EA">
      <w:pPr>
        <w:widowControl/>
        <w:rPr>
          <w:szCs w:val="22"/>
        </w:rPr>
      </w:pPr>
      <w:bookmarkStart w:id="20" w:name="_Toc300761891"/>
      <w:bookmarkStart w:id="21" w:name="_Toc300933420"/>
      <w:bookmarkStart w:id="22" w:name="_Toc370223466"/>
      <w:r w:rsidRPr="00B21422">
        <w:t xml:space="preserve">This Application was lodged by DSM Nutritional Products. </w:t>
      </w:r>
    </w:p>
    <w:p w14:paraId="545D57AC" w14:textId="2EF7E561" w:rsidR="007A53BF" w:rsidRPr="00B21422" w:rsidRDefault="007A53BF" w:rsidP="003225EA">
      <w:pPr>
        <w:pStyle w:val="Heading2"/>
        <w:widowControl/>
      </w:pPr>
      <w:bookmarkStart w:id="23" w:name="_Toc473297174"/>
      <w:bookmarkStart w:id="24" w:name="_Toc474759472"/>
      <w:r w:rsidRPr="00B21422">
        <w:t>1.2</w:t>
      </w:r>
      <w:r w:rsidRPr="00B21422">
        <w:tab/>
        <w:t>The Application</w:t>
      </w:r>
      <w:bookmarkEnd w:id="20"/>
      <w:bookmarkEnd w:id="21"/>
      <w:bookmarkEnd w:id="22"/>
      <w:bookmarkEnd w:id="23"/>
      <w:bookmarkEnd w:id="24"/>
    </w:p>
    <w:p w14:paraId="1BF934CF" w14:textId="18DED2FC" w:rsidR="00E81B94" w:rsidRPr="00B21422" w:rsidRDefault="00E81B94" w:rsidP="003225EA">
      <w:pPr>
        <w:widowControl/>
        <w:rPr>
          <w:lang w:eastAsia="en-AU" w:bidi="ar-SA"/>
        </w:rPr>
      </w:pPr>
      <w:bookmarkStart w:id="25" w:name="_Toc300761892"/>
      <w:bookmarkStart w:id="26" w:name="_Toc300933421"/>
      <w:bookmarkStart w:id="27" w:name="_Toc370223467"/>
      <w:r w:rsidRPr="00B21422">
        <w:rPr>
          <w:lang w:eastAsia="en-AU"/>
        </w:rPr>
        <w:t>In November 2015, DSM Nutritional Products submitted an Application requesting approval of an additional</w:t>
      </w:r>
      <w:r w:rsidR="007247F3">
        <w:rPr>
          <w:lang w:eastAsia="en-AU"/>
        </w:rPr>
        <w:t>,</w:t>
      </w:r>
      <w:r w:rsidRPr="00B21422">
        <w:rPr>
          <w:lang w:eastAsia="en-AU"/>
        </w:rPr>
        <w:t xml:space="preserve"> replacement or alternative oil source of DHA for infant formula products.</w:t>
      </w:r>
      <w:r w:rsidRPr="00B21422">
        <w:rPr>
          <w:lang w:bidi="ar-SA"/>
        </w:rPr>
        <w:t xml:space="preserve"> Specifically, the Application </w:t>
      </w:r>
      <w:r w:rsidR="00780C20">
        <w:rPr>
          <w:szCs w:val="22"/>
        </w:rPr>
        <w:t>sought permission</w:t>
      </w:r>
      <w:r w:rsidRPr="00B21422">
        <w:rPr>
          <w:szCs w:val="22"/>
        </w:rPr>
        <w:t xml:space="preserve"> for a DHA-rich marine micro-algal oil derived from a new production strain of </w:t>
      </w:r>
      <w:r w:rsidRPr="00B21422">
        <w:rPr>
          <w:i/>
          <w:lang w:eastAsia="en-AU" w:bidi="ar-SA"/>
        </w:rPr>
        <w:t>Schizochytrium</w:t>
      </w:r>
      <w:r w:rsidRPr="00B21422">
        <w:rPr>
          <w:lang w:eastAsia="en-AU" w:bidi="ar-SA"/>
        </w:rPr>
        <w:t xml:space="preserve"> sp.</w:t>
      </w:r>
      <w:r w:rsidRPr="00B21422">
        <w:rPr>
          <w:szCs w:val="22"/>
        </w:rPr>
        <w:t xml:space="preserve"> known as </w:t>
      </w:r>
      <w:r w:rsidRPr="00B21422">
        <w:t>American Type Cell Culture (</w:t>
      </w:r>
      <w:r w:rsidRPr="00B21422">
        <w:rPr>
          <w:szCs w:val="22"/>
        </w:rPr>
        <w:t>ATCC) PTA-9695. The Applicant advised that this strain is more productive than other marine algal DHA-rich oils currently in the market</w:t>
      </w:r>
      <w:r w:rsidRPr="00B21422">
        <w:rPr>
          <w:rStyle w:val="FootnoteReference"/>
          <w:szCs w:val="22"/>
        </w:rPr>
        <w:footnoteReference w:id="3"/>
      </w:r>
      <w:r w:rsidRPr="00B21422">
        <w:rPr>
          <w:szCs w:val="22"/>
        </w:rPr>
        <w:t xml:space="preserve">. The Applicant </w:t>
      </w:r>
      <w:r w:rsidR="00A63A66" w:rsidRPr="00B21422">
        <w:rPr>
          <w:szCs w:val="22"/>
        </w:rPr>
        <w:t xml:space="preserve">also </w:t>
      </w:r>
      <w:r w:rsidRPr="00B21422">
        <w:rPr>
          <w:szCs w:val="22"/>
        </w:rPr>
        <w:t xml:space="preserve">advised that the oil will be sold under the trade names DHASCO-B or DHA-B. For ease of reading, </w:t>
      </w:r>
      <w:r w:rsidR="00A63A66" w:rsidRPr="00B21422">
        <w:rPr>
          <w:szCs w:val="22"/>
        </w:rPr>
        <w:t xml:space="preserve">the oil is referred to as </w:t>
      </w:r>
      <w:r w:rsidRPr="00B21422">
        <w:rPr>
          <w:szCs w:val="22"/>
        </w:rPr>
        <w:t xml:space="preserve">DHA-B throughout this report. </w:t>
      </w:r>
    </w:p>
    <w:p w14:paraId="354F6B8E" w14:textId="548AACBD" w:rsidR="007A53BF" w:rsidRPr="00B21422" w:rsidRDefault="007A53BF" w:rsidP="003225EA">
      <w:pPr>
        <w:pStyle w:val="Heading2"/>
        <w:widowControl/>
      </w:pPr>
      <w:bookmarkStart w:id="28" w:name="_Toc473297175"/>
      <w:bookmarkStart w:id="29" w:name="_Toc474759473"/>
      <w:r w:rsidRPr="00B21422">
        <w:t>1.3</w:t>
      </w:r>
      <w:r w:rsidRPr="00B21422">
        <w:tab/>
        <w:t>The current Standard</w:t>
      </w:r>
      <w:bookmarkEnd w:id="25"/>
      <w:bookmarkEnd w:id="26"/>
      <w:bookmarkEnd w:id="27"/>
      <w:bookmarkEnd w:id="28"/>
      <w:bookmarkEnd w:id="29"/>
    </w:p>
    <w:p w14:paraId="42DDFA95" w14:textId="77777777" w:rsidR="00E81B94" w:rsidRPr="00B21422" w:rsidRDefault="00E81B94" w:rsidP="003225EA">
      <w:pPr>
        <w:pStyle w:val="Heading3"/>
        <w:widowControl/>
        <w:rPr>
          <w:rFonts w:cs="Arial"/>
          <w:szCs w:val="22"/>
        </w:rPr>
      </w:pPr>
      <w:bookmarkStart w:id="30" w:name="_Toc462919325"/>
      <w:bookmarkStart w:id="31" w:name="_Toc473297176"/>
      <w:bookmarkStart w:id="32" w:name="_Toc474759474"/>
      <w:r w:rsidRPr="00B21422">
        <w:rPr>
          <w:rFonts w:cs="Arial"/>
          <w:szCs w:val="22"/>
        </w:rPr>
        <w:t>1.3.1</w:t>
      </w:r>
      <w:r w:rsidRPr="00B21422">
        <w:rPr>
          <w:rFonts w:cs="Arial"/>
          <w:szCs w:val="22"/>
        </w:rPr>
        <w:tab/>
        <w:t>Australia New Zealand</w:t>
      </w:r>
      <w:bookmarkEnd w:id="30"/>
      <w:bookmarkEnd w:id="31"/>
      <w:bookmarkEnd w:id="32"/>
      <w:r w:rsidRPr="00B21422">
        <w:rPr>
          <w:rFonts w:cs="Arial"/>
          <w:szCs w:val="22"/>
        </w:rPr>
        <w:t xml:space="preserve"> </w:t>
      </w:r>
    </w:p>
    <w:p w14:paraId="58E2F15B" w14:textId="1256B69C" w:rsidR="00E81B94" w:rsidRPr="00B21422" w:rsidRDefault="00D6118B" w:rsidP="003225EA">
      <w:pPr>
        <w:widowControl/>
      </w:pPr>
      <w:r w:rsidRPr="00B21422">
        <w:t xml:space="preserve">In the Code, </w:t>
      </w:r>
      <w:r w:rsidR="00E81B94" w:rsidRPr="00B21422">
        <w:t>Standard 1.5.1</w:t>
      </w:r>
      <w:r w:rsidR="00E81B94" w:rsidRPr="00B21422">
        <w:rPr>
          <w:i/>
        </w:rPr>
        <w:t xml:space="preserve"> – </w:t>
      </w:r>
      <w:r w:rsidR="00E81B94" w:rsidRPr="00B21422">
        <w:t>Novel foods and Schedule</w:t>
      </w:r>
      <w:r w:rsidR="00780C20">
        <w:t xml:space="preserve"> </w:t>
      </w:r>
      <w:r w:rsidR="00E81B94" w:rsidRPr="00B21422">
        <w:t>25</w:t>
      </w:r>
      <w:r w:rsidR="00E81B94" w:rsidRPr="00B21422">
        <w:rPr>
          <w:i/>
        </w:rPr>
        <w:t xml:space="preserve"> – </w:t>
      </w:r>
      <w:r w:rsidR="00E81B94" w:rsidRPr="00B21422">
        <w:t>Permitted novel foods</w:t>
      </w:r>
      <w:r w:rsidR="005A7D7A">
        <w:t>,</w:t>
      </w:r>
      <w:r w:rsidR="00E81B94" w:rsidRPr="00B21422">
        <w:rPr>
          <w:i/>
        </w:rPr>
        <w:t xml:space="preserve"> </w:t>
      </w:r>
      <w:r w:rsidR="00E81B94" w:rsidRPr="00B21422">
        <w:t xml:space="preserve">contain permissions for the sale of novel foods that have been assessed and approved by FSANZ. </w:t>
      </w:r>
      <w:r w:rsidR="00664A8A">
        <w:t>S</w:t>
      </w:r>
      <w:r w:rsidR="00E81B94" w:rsidRPr="00B21422">
        <w:t xml:space="preserve">everal DHA-rich oils derived from different marine micro-algae species </w:t>
      </w:r>
      <w:r w:rsidR="00E81B94" w:rsidRPr="00AE2688">
        <w:t xml:space="preserve">are permitted </w:t>
      </w:r>
      <w:r w:rsidR="008F55E6" w:rsidRPr="00AE2688">
        <w:t xml:space="preserve">for use in </w:t>
      </w:r>
      <w:r w:rsidR="00E81B94" w:rsidRPr="00AE2688">
        <w:t xml:space="preserve">all foods. </w:t>
      </w:r>
    </w:p>
    <w:p w14:paraId="174F4E9F" w14:textId="2971F0FC" w:rsidR="00621B3D" w:rsidRPr="00B21422" w:rsidRDefault="00621B3D" w:rsidP="003225EA">
      <w:pPr>
        <w:widowControl/>
        <w:rPr>
          <w:lang w:bidi="ar-SA"/>
        </w:rPr>
      </w:pPr>
    </w:p>
    <w:p w14:paraId="00DCE3E9" w14:textId="4424A7AB" w:rsidR="00E81B94" w:rsidRDefault="00E81B94" w:rsidP="003225EA">
      <w:pPr>
        <w:widowControl/>
      </w:pPr>
      <w:r w:rsidRPr="00B21422">
        <w:t>Schedule 3</w:t>
      </w:r>
      <w:r w:rsidRPr="00B21422">
        <w:rPr>
          <w:i/>
        </w:rPr>
        <w:t xml:space="preserve"> – </w:t>
      </w:r>
      <w:r w:rsidRPr="00B21422">
        <w:t>Identity and purity</w:t>
      </w:r>
      <w:r w:rsidR="00D6118B" w:rsidRPr="00B21422">
        <w:t>,</w:t>
      </w:r>
      <w:r w:rsidRPr="00B21422">
        <w:rPr>
          <w:i/>
        </w:rPr>
        <w:t xml:space="preserve"> </w:t>
      </w:r>
      <w:r w:rsidRPr="00B21422">
        <w:t xml:space="preserve">includes specifications for the following oils derived from marine micro-algae species and fungi rich in DHA:  </w:t>
      </w:r>
    </w:p>
    <w:p w14:paraId="66C14BE7" w14:textId="77777777" w:rsidR="00C22B07" w:rsidRPr="00B21422" w:rsidRDefault="00C22B07" w:rsidP="003225EA">
      <w:pPr>
        <w:widowControl/>
      </w:pPr>
    </w:p>
    <w:p w14:paraId="35200337" w14:textId="77777777" w:rsidR="00E81B94" w:rsidRPr="00B21422" w:rsidRDefault="00E81B94" w:rsidP="003225EA">
      <w:pPr>
        <w:pStyle w:val="FSBullet1"/>
        <w:numPr>
          <w:ilvl w:val="0"/>
          <w:numId w:val="4"/>
        </w:numPr>
        <w:ind w:left="567" w:hanging="567"/>
      </w:pPr>
      <w:r w:rsidRPr="00B21422">
        <w:t xml:space="preserve">oil derived from the algae </w:t>
      </w:r>
      <w:r w:rsidRPr="00B21422">
        <w:rPr>
          <w:i/>
        </w:rPr>
        <w:t>Crypthecodinium cohnii</w:t>
      </w:r>
      <w:r w:rsidRPr="00B21422">
        <w:t xml:space="preserve"> rich in docosahexaenoic acid (DHA)</w:t>
      </w:r>
    </w:p>
    <w:p w14:paraId="282816D8" w14:textId="77777777" w:rsidR="00E81B94" w:rsidRPr="00B21422" w:rsidRDefault="00E81B94" w:rsidP="003225EA">
      <w:pPr>
        <w:pStyle w:val="FSBullet1"/>
        <w:numPr>
          <w:ilvl w:val="0"/>
          <w:numId w:val="4"/>
        </w:numPr>
        <w:ind w:left="567" w:hanging="567"/>
      </w:pPr>
      <w:r w:rsidRPr="00B21422">
        <w:t>oil derived from marine micro-algae (</w:t>
      </w:r>
      <w:r w:rsidRPr="00B21422">
        <w:rPr>
          <w:i/>
        </w:rPr>
        <w:t xml:space="preserve">Schizochytrium </w:t>
      </w:r>
      <w:r w:rsidRPr="0063219C">
        <w:t>sp</w:t>
      </w:r>
      <w:r w:rsidRPr="00C22B07">
        <w:t>.</w:t>
      </w:r>
      <w:r w:rsidRPr="00B21422">
        <w:t>) rich in docosahexaenoic acid (DHA)</w:t>
      </w:r>
    </w:p>
    <w:p w14:paraId="250134D9" w14:textId="41B4921B" w:rsidR="00E81B94" w:rsidRPr="00B21422" w:rsidRDefault="00E81B94" w:rsidP="003225EA">
      <w:pPr>
        <w:pStyle w:val="FSBullet1"/>
        <w:numPr>
          <w:ilvl w:val="0"/>
          <w:numId w:val="4"/>
        </w:numPr>
        <w:ind w:left="567" w:hanging="567"/>
      </w:pPr>
      <w:r w:rsidRPr="00B21422">
        <w:t>oil derived from marine micro-algae (</w:t>
      </w:r>
      <w:r w:rsidRPr="00B21422">
        <w:rPr>
          <w:i/>
        </w:rPr>
        <w:t xml:space="preserve">Ulkenia </w:t>
      </w:r>
      <w:r w:rsidRPr="0063219C">
        <w:t>sp</w:t>
      </w:r>
      <w:r w:rsidRPr="00C22B07">
        <w:t>.</w:t>
      </w:r>
      <w:r w:rsidRPr="00B21422">
        <w:t>) rich in docosahexaenoic acid (DHA)</w:t>
      </w:r>
      <w:r w:rsidR="00780C20">
        <w:t>.</w:t>
      </w:r>
    </w:p>
    <w:p w14:paraId="3A5538E5" w14:textId="77777777" w:rsidR="00E81B94" w:rsidRPr="00B21422" w:rsidRDefault="00E81B94" w:rsidP="003225EA">
      <w:pPr>
        <w:widowControl/>
        <w:rPr>
          <w:lang w:bidi="ar-SA"/>
        </w:rPr>
      </w:pPr>
    </w:p>
    <w:p w14:paraId="72747308" w14:textId="280E766E" w:rsidR="00E81B94" w:rsidRPr="00AE2688" w:rsidRDefault="00E81B94" w:rsidP="003225EA">
      <w:pPr>
        <w:widowControl/>
        <w:rPr>
          <w:lang w:eastAsia="en-AU" w:bidi="ar-SA"/>
        </w:rPr>
      </w:pPr>
      <w:r w:rsidRPr="00B21422">
        <w:rPr>
          <w:lang w:eastAsia="en-AU" w:bidi="ar-SA"/>
        </w:rPr>
        <w:t>All of these specifications refer to only the fatty acids DHA and trans fatty acids.</w:t>
      </w:r>
      <w:r w:rsidR="008F55E6">
        <w:rPr>
          <w:lang w:eastAsia="en-AU" w:bidi="ar-SA"/>
        </w:rPr>
        <w:t xml:space="preserve"> </w:t>
      </w:r>
      <w:r w:rsidR="00780C20">
        <w:rPr>
          <w:lang w:eastAsia="en-AU" w:bidi="ar-SA"/>
        </w:rPr>
        <w:t xml:space="preserve">Although </w:t>
      </w:r>
      <w:r w:rsidR="008F55E6">
        <w:rPr>
          <w:lang w:eastAsia="en-AU" w:bidi="ar-SA"/>
        </w:rPr>
        <w:t xml:space="preserve">specifications for </w:t>
      </w:r>
      <w:r w:rsidR="008F55E6" w:rsidRPr="00B21422">
        <w:t xml:space="preserve">oil derived from the algae </w:t>
      </w:r>
      <w:r w:rsidR="008F55E6" w:rsidRPr="00E139CA">
        <w:rPr>
          <w:i/>
        </w:rPr>
        <w:t>Crypthecodinium cohnii</w:t>
      </w:r>
      <w:r w:rsidR="00AE2688" w:rsidRPr="00AE2688">
        <w:t xml:space="preserve"> are listed in </w:t>
      </w:r>
      <w:r w:rsidR="00780C20" w:rsidRPr="00AE2688">
        <w:t xml:space="preserve">Schedule </w:t>
      </w:r>
      <w:r w:rsidR="00AE2688" w:rsidRPr="00AE2688">
        <w:t>3</w:t>
      </w:r>
      <w:r w:rsidR="008F0128">
        <w:t>,</w:t>
      </w:r>
      <w:r w:rsidR="00FC4849">
        <w:t xml:space="preserve"> </w:t>
      </w:r>
      <w:r w:rsidR="00AE2688" w:rsidRPr="00AE2688">
        <w:t xml:space="preserve">they are not included </w:t>
      </w:r>
      <w:r w:rsidR="00E139CA">
        <w:t xml:space="preserve">in </w:t>
      </w:r>
      <w:r w:rsidR="00AE2688" w:rsidRPr="00AE2688">
        <w:t>a specific standard in the Code</w:t>
      </w:r>
      <w:r w:rsidR="008F0128">
        <w:t xml:space="preserve">. </w:t>
      </w:r>
    </w:p>
    <w:p w14:paraId="1C7E3820" w14:textId="0F72F705" w:rsidR="00621B3D" w:rsidRPr="00B21422" w:rsidRDefault="00621B3D" w:rsidP="003225EA">
      <w:pPr>
        <w:widowControl/>
        <w:rPr>
          <w:lang w:eastAsia="en-AU" w:bidi="ar-SA"/>
        </w:rPr>
      </w:pPr>
    </w:p>
    <w:p w14:paraId="2B4C7683" w14:textId="7598DFF1" w:rsidR="00E81B94" w:rsidRPr="00B21422" w:rsidRDefault="00E81B94" w:rsidP="003225EA">
      <w:pPr>
        <w:widowControl/>
        <w:rPr>
          <w:lang w:eastAsia="en-AU" w:bidi="ar-SA"/>
        </w:rPr>
      </w:pPr>
      <w:r w:rsidRPr="00B21422">
        <w:rPr>
          <w:lang w:eastAsia="en-AU" w:bidi="ar-SA"/>
        </w:rPr>
        <w:t>Schedule</w:t>
      </w:r>
      <w:r w:rsidR="00780C20">
        <w:rPr>
          <w:lang w:eastAsia="en-AU" w:bidi="ar-SA"/>
        </w:rPr>
        <w:t xml:space="preserve"> </w:t>
      </w:r>
      <w:r w:rsidRPr="00B21422">
        <w:rPr>
          <w:lang w:eastAsia="en-AU" w:bidi="ar-SA"/>
        </w:rPr>
        <w:t>29 – Special purpose food</w:t>
      </w:r>
      <w:r w:rsidRPr="00B21422">
        <w:rPr>
          <w:i/>
          <w:lang w:eastAsia="en-AU" w:bidi="ar-SA"/>
        </w:rPr>
        <w:t>s</w:t>
      </w:r>
      <w:r w:rsidRPr="00B21422">
        <w:rPr>
          <w:lang w:eastAsia="en-AU" w:bidi="ar-SA"/>
        </w:rPr>
        <w:t xml:space="preserve"> </w:t>
      </w:r>
      <w:r w:rsidRPr="00B21422">
        <w:rPr>
          <w:rFonts w:eastAsia="Arial Unicode MS"/>
          <w:szCs w:val="22"/>
          <w:lang w:bidi="ar-SA"/>
        </w:rPr>
        <w:t>(section S29</w:t>
      </w:r>
      <w:r w:rsidRPr="00B21422">
        <w:rPr>
          <w:rFonts w:eastAsia="Arial Unicode MS"/>
        </w:rPr>
        <w:t xml:space="preserve">—8) </w:t>
      </w:r>
      <w:r w:rsidRPr="00B21422">
        <w:rPr>
          <w:lang w:eastAsia="en-AU" w:bidi="ar-SA"/>
        </w:rPr>
        <w:t xml:space="preserve">sets </w:t>
      </w:r>
      <w:r w:rsidR="00D6118B" w:rsidRPr="00B21422">
        <w:rPr>
          <w:lang w:eastAsia="en-AU" w:bidi="ar-SA"/>
        </w:rPr>
        <w:t>a limit</w:t>
      </w:r>
      <w:r w:rsidRPr="00B21422">
        <w:rPr>
          <w:lang w:eastAsia="en-AU" w:bidi="ar-SA"/>
        </w:rPr>
        <w:t xml:space="preserve"> on the n-3 LC-PUFA content that may be present in infant formula products at a maximum of 1% total fatty acid content. </w:t>
      </w:r>
    </w:p>
    <w:p w14:paraId="2F6B3C5C" w14:textId="77777777" w:rsidR="00E81B94" w:rsidRPr="00B21422" w:rsidRDefault="00E81B94" w:rsidP="003225EA">
      <w:pPr>
        <w:widowControl/>
        <w:rPr>
          <w:lang w:eastAsia="en-AU" w:bidi="ar-SA"/>
        </w:rPr>
      </w:pPr>
    </w:p>
    <w:p w14:paraId="216003A1" w14:textId="485389FE" w:rsidR="005A7D7A" w:rsidRDefault="00E81B94" w:rsidP="003225EA">
      <w:pPr>
        <w:widowControl/>
        <w:rPr>
          <w:lang w:eastAsia="en-AU" w:bidi="ar-SA"/>
        </w:rPr>
      </w:pPr>
      <w:r w:rsidRPr="00B21422">
        <w:rPr>
          <w:lang w:eastAsia="en-AU" w:bidi="ar-SA"/>
        </w:rPr>
        <w:t>Standard 2.9.1</w:t>
      </w:r>
      <w:r w:rsidRPr="00B21422">
        <w:rPr>
          <w:i/>
          <w:lang w:eastAsia="en-AU" w:bidi="ar-SA"/>
        </w:rPr>
        <w:t xml:space="preserve"> </w:t>
      </w:r>
      <w:r w:rsidRPr="00B21422">
        <w:rPr>
          <w:lang w:eastAsia="en-AU" w:bidi="ar-SA"/>
        </w:rPr>
        <w:t>– Infant formula products controls the relative proportions of the specific</w:t>
      </w:r>
      <w:r w:rsidR="00EF6F97" w:rsidRPr="00B21422">
        <w:rPr>
          <w:lang w:eastAsia="en-AU" w:bidi="ar-SA"/>
        </w:rPr>
        <w:t xml:space="preserve"> </w:t>
      </w:r>
      <w:r w:rsidR="00780C20">
        <w:rPr>
          <w:lang w:eastAsia="en-AU" w:bidi="ar-SA"/>
        </w:rPr>
        <w:t xml:space="preserve">n-3 </w:t>
      </w:r>
      <w:r w:rsidR="00780C20" w:rsidRPr="00B21422">
        <w:rPr>
          <w:lang w:eastAsia="en-AU" w:bidi="ar-SA"/>
        </w:rPr>
        <w:t xml:space="preserve">LC-PUFA </w:t>
      </w:r>
      <w:r w:rsidR="00780C20">
        <w:rPr>
          <w:lang w:eastAsia="en-AU" w:bidi="ar-SA"/>
        </w:rPr>
        <w:t xml:space="preserve">fatty acids </w:t>
      </w:r>
      <w:r w:rsidRPr="00B21422">
        <w:rPr>
          <w:lang w:eastAsia="en-AU" w:bidi="ar-SA"/>
        </w:rPr>
        <w:t xml:space="preserve">DHA and </w:t>
      </w:r>
      <w:r w:rsidRPr="00B21422">
        <w:t>eicosapentaenoic acid</w:t>
      </w:r>
      <w:r w:rsidRPr="00B21422">
        <w:rPr>
          <w:lang w:eastAsia="en-AU" w:bidi="ar-SA"/>
        </w:rPr>
        <w:t xml:space="preserve"> (EPA).</w:t>
      </w:r>
      <w:r w:rsidR="005A7D7A">
        <w:rPr>
          <w:lang w:eastAsia="en-AU" w:bidi="ar-SA"/>
        </w:rPr>
        <w:br w:type="page"/>
      </w:r>
    </w:p>
    <w:p w14:paraId="0E7D7CAB" w14:textId="77777777" w:rsidR="00E81B94" w:rsidRPr="00B21422" w:rsidRDefault="00E81B94" w:rsidP="003225EA">
      <w:pPr>
        <w:pStyle w:val="Heading3"/>
        <w:widowControl/>
      </w:pPr>
      <w:bookmarkStart w:id="33" w:name="_Toc462919326"/>
      <w:bookmarkStart w:id="34" w:name="_Toc473297177"/>
      <w:bookmarkStart w:id="35" w:name="_Toc474759475"/>
      <w:r w:rsidRPr="00B21422">
        <w:lastRenderedPageBreak/>
        <w:t>1.3.2</w:t>
      </w:r>
      <w:r w:rsidRPr="00B21422">
        <w:tab/>
        <w:t>Current proposals to amend the Code</w:t>
      </w:r>
      <w:bookmarkEnd w:id="33"/>
      <w:bookmarkEnd w:id="34"/>
      <w:bookmarkEnd w:id="35"/>
    </w:p>
    <w:p w14:paraId="7F245C12" w14:textId="77777777" w:rsidR="00E81B94" w:rsidRPr="00B21422" w:rsidRDefault="00E81B94" w:rsidP="003225EA">
      <w:pPr>
        <w:widowControl/>
      </w:pPr>
      <w:r w:rsidRPr="00B21422">
        <w:t xml:space="preserve">The following two Proposals are currently reviewing the regulation of novel foods and nutritive substances, and infant formula. They intend to consider the broader issues relating to the regulation of micro-algal oils in infant formula products. </w:t>
      </w:r>
    </w:p>
    <w:p w14:paraId="30ED2855" w14:textId="77777777" w:rsidR="00E81B94" w:rsidRPr="00B21422" w:rsidRDefault="00E81B94" w:rsidP="003225EA">
      <w:pPr>
        <w:pStyle w:val="Heading4"/>
        <w:widowControl/>
      </w:pPr>
      <w:r w:rsidRPr="00B21422">
        <w:t>P1024 – Revision of the Regulation of Nutritive Substances &amp; Novel Foods</w:t>
      </w:r>
    </w:p>
    <w:p w14:paraId="15312038" w14:textId="1A02FF9F" w:rsidR="00E81B94" w:rsidRPr="00B21422" w:rsidRDefault="00157382" w:rsidP="003225EA">
      <w:pPr>
        <w:widowControl/>
        <w:ind w:right="-286"/>
        <w:rPr>
          <w:szCs w:val="20"/>
        </w:rPr>
      </w:pPr>
      <w:hyperlink r:id="rId19" w:history="1">
        <w:r w:rsidR="00060811" w:rsidRPr="00725FAB">
          <w:rPr>
            <w:rStyle w:val="Hyperlink"/>
          </w:rPr>
          <w:t xml:space="preserve">Proposal </w:t>
        </w:r>
        <w:r w:rsidR="00E81B94" w:rsidRPr="0096626A">
          <w:rPr>
            <w:rStyle w:val="Hyperlink"/>
          </w:rPr>
          <w:t>P1024</w:t>
        </w:r>
      </w:hyperlink>
      <w:r w:rsidR="00C22B07">
        <w:rPr>
          <w:rStyle w:val="FootnoteReference"/>
          <w:szCs w:val="20"/>
        </w:rPr>
        <w:footnoteReference w:id="4"/>
      </w:r>
      <w:r w:rsidR="00C22B07">
        <w:rPr>
          <w:szCs w:val="20"/>
        </w:rPr>
        <w:t xml:space="preserve"> </w:t>
      </w:r>
      <w:r w:rsidR="00E81B94" w:rsidRPr="00B21422">
        <w:rPr>
          <w:lang w:bidi="ar-SA"/>
        </w:rPr>
        <w:t xml:space="preserve">seeks to </w:t>
      </w:r>
      <w:r w:rsidR="00E81B94" w:rsidRPr="00B21422">
        <w:t>improve</w:t>
      </w:r>
      <w:r w:rsidR="00E81B94" w:rsidRPr="00B21422">
        <w:rPr>
          <w:lang w:bidi="ar-SA"/>
        </w:rPr>
        <w:t xml:space="preserve"> the regulation of novel foods and nutritive substances to ensure appropriate pre-market safety assessment of these foods before they are sold in Australia and New Zealand. </w:t>
      </w:r>
      <w:r w:rsidR="00E81B94" w:rsidRPr="00B21422">
        <w:rPr>
          <w:szCs w:val="20"/>
        </w:rPr>
        <w:t xml:space="preserve">The </w:t>
      </w:r>
      <w:r w:rsidR="00E81B94" w:rsidRPr="00B21422">
        <w:t>recent</w:t>
      </w:r>
      <w:r w:rsidR="00E81B94" w:rsidRPr="00B21422">
        <w:rPr>
          <w:szCs w:val="20"/>
        </w:rPr>
        <w:t xml:space="preserve"> 1</w:t>
      </w:r>
      <w:r w:rsidR="00E81B94" w:rsidRPr="00B21422">
        <w:rPr>
          <w:szCs w:val="20"/>
          <w:vertAlign w:val="superscript"/>
        </w:rPr>
        <w:t>st</w:t>
      </w:r>
      <w:r w:rsidR="00E81B94" w:rsidRPr="00B21422">
        <w:rPr>
          <w:szCs w:val="20"/>
        </w:rPr>
        <w:t xml:space="preserve"> call for submissions considered how to </w:t>
      </w:r>
      <w:r w:rsidR="00E81B94" w:rsidRPr="00B21422">
        <w:t>develop an alternative framework for the regulation of nutritive substances</w:t>
      </w:r>
      <w:r w:rsidR="00780C20">
        <w:t xml:space="preserve"> </w:t>
      </w:r>
      <w:r w:rsidR="00E81B94" w:rsidRPr="00B21422">
        <w:t>and novel foods in the Code.</w:t>
      </w:r>
      <w:r w:rsidR="00E81B94" w:rsidRPr="00B21422">
        <w:rPr>
          <w:szCs w:val="20"/>
        </w:rPr>
        <w:t xml:space="preserve"> Although the approach implemented under P1024 for general foods may be able to be considered for infant formula products, FSANZ will consider infant formula products separately given the vulnerability of formula-fed infants and the current regulatory environment.</w:t>
      </w:r>
    </w:p>
    <w:p w14:paraId="18ADC7EF" w14:textId="77777777" w:rsidR="00E81B94" w:rsidRPr="00B21422" w:rsidRDefault="00157382" w:rsidP="003225EA">
      <w:pPr>
        <w:pStyle w:val="Heading4"/>
        <w:widowControl/>
      </w:pPr>
      <w:hyperlink r:id="rId20" w:history="1">
        <w:r w:rsidR="00E81B94" w:rsidRPr="00B21422">
          <w:t>P1028 – Review of the Regulation of Infant formula</w:t>
        </w:r>
      </w:hyperlink>
    </w:p>
    <w:p w14:paraId="5DDBC928" w14:textId="196CBCE7" w:rsidR="00E81B94" w:rsidRPr="00B21422" w:rsidRDefault="00E81B94" w:rsidP="003225EA">
      <w:pPr>
        <w:widowControl/>
        <w:rPr>
          <w:lang w:eastAsia="en-AU"/>
        </w:rPr>
      </w:pPr>
      <w:r w:rsidRPr="00B21422">
        <w:rPr>
          <w:rFonts w:cs="Arial"/>
        </w:rPr>
        <w:t xml:space="preserve">FSANZ is currently reviewing the fatty acid composition of infant formula and the </w:t>
      </w:r>
      <w:r w:rsidRPr="00B21422">
        <w:t>regulatory approach for the addition of new substances to infant formula in</w:t>
      </w:r>
      <w:r w:rsidR="00060811">
        <w:t xml:space="preserve"> </w:t>
      </w:r>
      <w:hyperlink r:id="rId21" w:history="1">
        <w:r w:rsidR="00007CE2">
          <w:rPr>
            <w:rStyle w:val="Hyperlink"/>
          </w:rPr>
          <w:t>P</w:t>
        </w:r>
        <w:r w:rsidR="00060811" w:rsidRPr="00725FAB">
          <w:rPr>
            <w:rStyle w:val="Hyperlink"/>
          </w:rPr>
          <w:t>roposal</w:t>
        </w:r>
        <w:r w:rsidRPr="00725FAB">
          <w:rPr>
            <w:rStyle w:val="Hyperlink"/>
          </w:rPr>
          <w:t xml:space="preserve"> </w:t>
        </w:r>
        <w:r w:rsidRPr="0096626A">
          <w:rPr>
            <w:rStyle w:val="Hyperlink"/>
          </w:rPr>
          <w:t>P1028</w:t>
        </w:r>
      </w:hyperlink>
      <w:r w:rsidR="00C22B07">
        <w:rPr>
          <w:rStyle w:val="FootnoteReference"/>
          <w:color w:val="3333FF"/>
          <w:u w:val="single"/>
        </w:rPr>
        <w:footnoteReference w:id="5"/>
      </w:r>
      <w:r w:rsidRPr="00060811">
        <w:rPr>
          <w:rFonts w:cs="Arial"/>
        </w:rPr>
        <w:t>.</w:t>
      </w:r>
      <w:r w:rsidRPr="00B21422">
        <w:rPr>
          <w:rFonts w:cs="Arial"/>
        </w:rPr>
        <w:t xml:space="preserve"> </w:t>
      </w:r>
      <w:r w:rsidR="00060811">
        <w:rPr>
          <w:rFonts w:cs="Arial"/>
        </w:rPr>
        <w:t>S</w:t>
      </w:r>
      <w:r w:rsidR="00D6118B" w:rsidRPr="00B21422">
        <w:rPr>
          <w:rFonts w:cs="Arial"/>
        </w:rPr>
        <w:t>takeholders</w:t>
      </w:r>
      <w:r w:rsidR="00060811">
        <w:rPr>
          <w:rFonts w:cs="Arial"/>
        </w:rPr>
        <w:t>’</w:t>
      </w:r>
      <w:r w:rsidR="00D6118B" w:rsidRPr="00B21422">
        <w:rPr>
          <w:rFonts w:cs="Arial"/>
        </w:rPr>
        <w:t xml:space="preserve"> s</w:t>
      </w:r>
      <w:r w:rsidRPr="00B21422">
        <w:rPr>
          <w:rFonts w:cs="Arial"/>
        </w:rPr>
        <w:t xml:space="preserve">ubmissions </w:t>
      </w:r>
      <w:r w:rsidR="00D6118B" w:rsidRPr="00B21422">
        <w:rPr>
          <w:rFonts w:cs="Arial"/>
        </w:rPr>
        <w:t xml:space="preserve">to P1028 </w:t>
      </w:r>
      <w:r w:rsidRPr="00B21422">
        <w:rPr>
          <w:rFonts w:cs="Arial"/>
        </w:rPr>
        <w:t xml:space="preserve">have highlighted </w:t>
      </w:r>
      <w:r w:rsidR="00D6118B" w:rsidRPr="00B21422">
        <w:rPr>
          <w:rFonts w:cs="Arial"/>
        </w:rPr>
        <w:t xml:space="preserve">a </w:t>
      </w:r>
      <w:r w:rsidRPr="00B21422">
        <w:rPr>
          <w:rFonts w:cs="Arial"/>
        </w:rPr>
        <w:t xml:space="preserve">current lack of clarity on the use of oil ingredients that contribute to the LC-PUFA component of infant formula. This issue </w:t>
      </w:r>
      <w:r w:rsidR="00F06FF9">
        <w:rPr>
          <w:rFonts w:cs="Arial"/>
        </w:rPr>
        <w:t>was</w:t>
      </w:r>
      <w:r w:rsidRPr="00B21422">
        <w:rPr>
          <w:rFonts w:cs="Arial"/>
        </w:rPr>
        <w:t xml:space="preserve"> discussed in the 2016 Consultation Paper</w:t>
      </w:r>
      <w:r w:rsidR="00780C20">
        <w:rPr>
          <w:rFonts w:cs="Arial"/>
        </w:rPr>
        <w:t xml:space="preserve"> and will be further considered.</w:t>
      </w:r>
    </w:p>
    <w:p w14:paraId="53C0D940" w14:textId="77777777" w:rsidR="00E81B94" w:rsidRPr="00B21422" w:rsidRDefault="00E81B94" w:rsidP="003225EA">
      <w:pPr>
        <w:pStyle w:val="Heading3"/>
        <w:widowControl/>
      </w:pPr>
      <w:bookmarkStart w:id="36" w:name="_Toc462919327"/>
      <w:bookmarkStart w:id="37" w:name="_Toc473297178"/>
      <w:bookmarkStart w:id="38" w:name="_Toc474759476"/>
      <w:r w:rsidRPr="00B21422">
        <w:t>1.3.3</w:t>
      </w:r>
      <w:r w:rsidRPr="00B21422">
        <w:tab/>
        <w:t>International and overseas regulations</w:t>
      </w:r>
      <w:bookmarkEnd w:id="36"/>
      <w:bookmarkEnd w:id="37"/>
      <w:bookmarkEnd w:id="38"/>
      <w:r w:rsidRPr="00B21422">
        <w:t xml:space="preserve"> </w:t>
      </w:r>
    </w:p>
    <w:p w14:paraId="285B3E4C" w14:textId="090601D9" w:rsidR="00E81B94" w:rsidRPr="00B21422" w:rsidRDefault="00E81B94" w:rsidP="003225EA">
      <w:pPr>
        <w:widowControl/>
      </w:pPr>
      <w:r w:rsidRPr="00B21422">
        <w:t xml:space="preserve">This section covers regulation of both marine micro-algal oils and DHA in infant formula products. Several DHA-rich oils and other products derived from marine micro-algae species are permitted as novel foods and for use in infant formula products in many countries around the world. DHA permissions for infant formula products vary. Some countries permit voluntary addition and some have a mandatory requirement. </w:t>
      </w:r>
    </w:p>
    <w:p w14:paraId="4F71BF7A" w14:textId="77777777" w:rsidR="00E81B94" w:rsidRPr="00B21422" w:rsidRDefault="00E81B94" w:rsidP="003225EA">
      <w:pPr>
        <w:pStyle w:val="Heading4"/>
        <w:widowControl/>
      </w:pPr>
      <w:r w:rsidRPr="00B21422">
        <w:t>1.3.3.1</w:t>
      </w:r>
      <w:r w:rsidRPr="00B21422">
        <w:tab/>
        <w:t>Codex Alimentarius</w:t>
      </w:r>
    </w:p>
    <w:p w14:paraId="59CB8B4D" w14:textId="6D9729E2" w:rsidR="00E81B94" w:rsidRDefault="00E81B94" w:rsidP="003225EA">
      <w:pPr>
        <w:widowControl/>
        <w:ind w:right="-286"/>
      </w:pPr>
      <w:r w:rsidRPr="00B21422">
        <w:t xml:space="preserve">The Codex Standard for Infant Formula and Formulas for Special Medical Purposes Intended for Infants (Codex Standard 72-1981) does not contain specific provisions for marine micro-algal oils in infant formula and infant formula for special </w:t>
      </w:r>
      <w:r w:rsidR="00780C20">
        <w:t>medical purposes</w:t>
      </w:r>
      <w:r w:rsidRPr="00B21422">
        <w:t>. However, DHA</w:t>
      </w:r>
      <w:r w:rsidR="00780C20">
        <w:t xml:space="preserve"> is listed</w:t>
      </w:r>
      <w:r w:rsidRPr="00B21422">
        <w:t xml:space="preserve"> as an optional ingredient with a </w:t>
      </w:r>
      <w:r w:rsidRPr="00B21422">
        <w:rPr>
          <w:rFonts w:eastAsia="Arial Unicode MS"/>
          <w:szCs w:val="22"/>
          <w:lang w:bidi="ar-SA"/>
        </w:rPr>
        <w:t xml:space="preserve">guidance upper level </w:t>
      </w:r>
      <w:r w:rsidR="00513D39" w:rsidRPr="00B21422">
        <w:rPr>
          <w:rFonts w:eastAsia="Arial Unicode MS"/>
          <w:szCs w:val="22"/>
          <w:lang w:bidi="ar-SA"/>
        </w:rPr>
        <w:t>(</w:t>
      </w:r>
      <w:r w:rsidRPr="00B21422">
        <w:rPr>
          <w:rFonts w:eastAsia="Arial Unicode MS"/>
          <w:szCs w:val="22"/>
          <w:lang w:bidi="ar-SA"/>
        </w:rPr>
        <w:t>GUL</w:t>
      </w:r>
      <w:r w:rsidR="00513D39" w:rsidRPr="00B21422">
        <w:rPr>
          <w:rFonts w:eastAsia="Arial Unicode MS"/>
          <w:szCs w:val="22"/>
          <w:lang w:bidi="ar-SA"/>
        </w:rPr>
        <w:t>)</w:t>
      </w:r>
      <w:r w:rsidRPr="00B21422">
        <w:rPr>
          <w:rFonts w:eastAsia="Arial Unicode MS"/>
          <w:szCs w:val="22"/>
          <w:lang w:bidi="ar-SA"/>
        </w:rPr>
        <w:t xml:space="preserve"> of </w:t>
      </w:r>
      <w:r w:rsidRPr="00B21422" w:rsidDel="00F74111">
        <w:rPr>
          <w:rFonts w:eastAsia="Arial Unicode MS"/>
          <w:szCs w:val="22"/>
          <w:lang w:bidi="ar-SA"/>
        </w:rPr>
        <w:t xml:space="preserve">0.5% </w:t>
      </w:r>
      <w:r w:rsidRPr="00B21422">
        <w:rPr>
          <w:rFonts w:eastAsia="Arial Unicode MS"/>
          <w:szCs w:val="22"/>
          <w:lang w:bidi="ar-SA"/>
        </w:rPr>
        <w:t xml:space="preserve">total </w:t>
      </w:r>
      <w:r w:rsidRPr="00B21422" w:rsidDel="00F74111">
        <w:rPr>
          <w:rFonts w:eastAsia="Arial Unicode MS"/>
          <w:szCs w:val="22"/>
          <w:lang w:bidi="ar-SA"/>
        </w:rPr>
        <w:t>fatty acids</w:t>
      </w:r>
      <w:r w:rsidRPr="00B21422">
        <w:rPr>
          <w:rFonts w:eastAsia="Arial Unicode MS"/>
          <w:szCs w:val="22"/>
          <w:lang w:bidi="ar-SA"/>
        </w:rPr>
        <w:t xml:space="preserve">. The </w:t>
      </w:r>
      <w:r w:rsidRPr="00B21422">
        <w:t xml:space="preserve">Codex standard also contains provisions for ‘optional ingredients’, which apply to the inclusion of substances such as DHA-rich algal oils. The Standard requires that the suitability of </w:t>
      </w:r>
      <w:r w:rsidR="00513D39" w:rsidRPr="00B21422">
        <w:t>‘optional ingredients’ must be “</w:t>
      </w:r>
      <w:r w:rsidRPr="00B21422">
        <w:t>scientifically demonstrated; the formula must contain sufficient amounts of these substances to achieve</w:t>
      </w:r>
      <w:r w:rsidR="00513D39" w:rsidRPr="00B21422">
        <w:t xml:space="preserve"> the</w:t>
      </w:r>
      <w:r w:rsidRPr="00B21422">
        <w:t xml:space="preserve"> intended effect, taking into account levels in human milk”. </w:t>
      </w:r>
    </w:p>
    <w:p w14:paraId="70ABFCF6" w14:textId="77777777" w:rsidR="00E81B94" w:rsidRPr="00B21422" w:rsidRDefault="00E81B94" w:rsidP="00675DAC">
      <w:pPr>
        <w:pStyle w:val="Heading4"/>
        <w:widowControl/>
      </w:pPr>
      <w:r w:rsidRPr="00B21422">
        <w:t>1.3.3.2</w:t>
      </w:r>
      <w:r w:rsidRPr="00B21422">
        <w:tab/>
        <w:t>North America</w:t>
      </w:r>
    </w:p>
    <w:p w14:paraId="0528FBC8" w14:textId="77777777" w:rsidR="005A7D7A" w:rsidRDefault="00E81B94" w:rsidP="005A7D7A">
      <w:r w:rsidRPr="00B21422">
        <w:rPr>
          <w:rFonts w:eastAsia="Calibri"/>
        </w:rPr>
        <w:t xml:space="preserve">In 2015, the </w:t>
      </w:r>
      <w:r w:rsidRPr="00B21422">
        <w:t>US Food and Drug Administration (USFDA) issued a letter stating that “the FDA has no questions at this time” regarding DSM’s conclusion that this particular algal oil is Generally Recognised as Safe (GRAS) under the intended conditions of use in infant formula.</w:t>
      </w:r>
      <w:r w:rsidRPr="00B21422">
        <w:rPr>
          <w:rFonts w:eastAsia="Calibri"/>
        </w:rPr>
        <w:t xml:space="preserve"> DHA is not listed as a required nutrient in infant formula in the </w:t>
      </w:r>
      <w:r w:rsidRPr="00B21422">
        <w:t xml:space="preserve">Federal Food, Drug and Cosmetic Act (FFDCA) or the USFDA’s implementing regulations in Title 21 of the Code of Federal Regulations (21 CFR). However, several sources of DHA have been accorded a status as GRAS for use in infant formula. </w:t>
      </w:r>
      <w:r w:rsidR="005A7D7A">
        <w:br w:type="page"/>
      </w:r>
    </w:p>
    <w:p w14:paraId="1723361F" w14:textId="05C9D0E9" w:rsidR="00E81B94" w:rsidRPr="00B21422" w:rsidRDefault="00E81B94" w:rsidP="003225EA">
      <w:pPr>
        <w:widowControl/>
        <w:autoSpaceDE w:val="0"/>
        <w:autoSpaceDN w:val="0"/>
        <w:adjustRightInd w:val="0"/>
        <w:rPr>
          <w:rFonts w:eastAsia="Calibri"/>
        </w:rPr>
      </w:pPr>
      <w:r w:rsidRPr="00B21422">
        <w:rPr>
          <w:rFonts w:eastAsia="Calibri"/>
          <w:szCs w:val="22"/>
          <w:lang w:bidi="ar-SA"/>
        </w:rPr>
        <w:lastRenderedPageBreak/>
        <w:t xml:space="preserve">In 2015, Health Canada issued a letter of no objection to “the sale of DHASCO-B to be added </w:t>
      </w:r>
      <w:r w:rsidRPr="00B21422">
        <w:rPr>
          <w:rFonts w:eastAsia="Calibri"/>
        </w:rPr>
        <w:t xml:space="preserve">as a source of DHA to infant formula and follow-on formula”. DHA is not specifically listed in the </w:t>
      </w:r>
      <w:r w:rsidRPr="00B21422">
        <w:t>Divisions B.25 (Infant formula) of the Canadian Food and Drug Regulations</w:t>
      </w:r>
      <w:r w:rsidRPr="00B21422">
        <w:rPr>
          <w:lang w:eastAsia="en-GB"/>
        </w:rPr>
        <w:t>. However, ‘</w:t>
      </w:r>
      <w:r w:rsidRPr="00B21422">
        <w:t>nutritive substances normally contained in human milk’ are permitted to be added to infant formula if the amount of the substance in the product is equal to the amount present (per</w:t>
      </w:r>
      <w:r w:rsidR="00780C20">
        <w:t xml:space="preserve"> </w:t>
      </w:r>
      <w:r w:rsidRPr="00B21422">
        <w:t>100 available kilocalories) in human milk (</w:t>
      </w:r>
      <w:r w:rsidRPr="00B21422">
        <w:rPr>
          <w:lang w:eastAsia="en-GB"/>
        </w:rPr>
        <w:t xml:space="preserve">section </w:t>
      </w:r>
      <w:r w:rsidRPr="00B21422">
        <w:t xml:space="preserve">B.25.056 (a)). </w:t>
      </w:r>
    </w:p>
    <w:p w14:paraId="3CE012C3" w14:textId="77777777" w:rsidR="00E81B94" w:rsidRPr="00B21422" w:rsidRDefault="00E81B94" w:rsidP="003225EA">
      <w:pPr>
        <w:pStyle w:val="Heading4"/>
        <w:keepLines/>
        <w:widowControl/>
      </w:pPr>
      <w:r w:rsidRPr="00B21422">
        <w:t>1.3.3.3</w:t>
      </w:r>
      <w:r w:rsidRPr="00B21422">
        <w:tab/>
        <w:t>European Union</w:t>
      </w:r>
    </w:p>
    <w:p w14:paraId="7B3C91F6" w14:textId="77777777" w:rsidR="00E81B94" w:rsidRPr="00B21422" w:rsidRDefault="00E81B94" w:rsidP="003225EA">
      <w:pPr>
        <w:widowControl/>
      </w:pPr>
      <w:r w:rsidRPr="00B21422">
        <w:rPr>
          <w:rFonts w:eastAsia="Calibri"/>
        </w:rPr>
        <w:t xml:space="preserve">Oil from the micro-algae </w:t>
      </w:r>
      <w:r w:rsidRPr="00B21422">
        <w:rPr>
          <w:rFonts w:eastAsia="Calibri"/>
          <w:i/>
        </w:rPr>
        <w:t>Schizochytrium</w:t>
      </w:r>
      <w:r w:rsidRPr="00B21422">
        <w:rPr>
          <w:rFonts w:eastAsia="Calibri"/>
        </w:rPr>
        <w:t xml:space="preserve"> sp. (ATCC PTA-9695) has been authorised for use as a novel food ingredient for use in various food categories, including infant formula and follow-on formula in alignment with </w:t>
      </w:r>
      <w:r w:rsidRPr="00B21422">
        <w:t>Directive 2006/141/EC and Commission Delegated Regulation (EU) 2016/127</w:t>
      </w:r>
      <w:r w:rsidRPr="00B21422">
        <w:rPr>
          <w:rFonts w:eastAsia="Calibri"/>
        </w:rPr>
        <w:t>.</w:t>
      </w:r>
    </w:p>
    <w:p w14:paraId="5DB88360" w14:textId="77777777" w:rsidR="00E81B94" w:rsidRPr="00B21422" w:rsidRDefault="00E81B94" w:rsidP="003225EA">
      <w:pPr>
        <w:widowControl/>
        <w:rPr>
          <w:sz w:val="19"/>
          <w:szCs w:val="19"/>
        </w:rPr>
      </w:pPr>
    </w:p>
    <w:p w14:paraId="0A94E134" w14:textId="77777777" w:rsidR="00E81B94" w:rsidRPr="00B21422" w:rsidRDefault="00E81B94" w:rsidP="003225EA">
      <w:pPr>
        <w:widowControl/>
        <w:rPr>
          <w:lang w:eastAsia="en-AU" w:bidi="ar-SA"/>
        </w:rPr>
      </w:pPr>
      <w:r w:rsidRPr="00B21422">
        <w:t>Directive 2006/141/EC allows for the addition of DHA on a voluntary basis. The recent Commission Delegated Regulation (EU) 2016/127 specifies mandatory addition of DHA to infant and follow-on formula within the range of 4.8 mg/100 kJ to 12 mg/100 kJ.</w:t>
      </w:r>
      <w:r w:rsidRPr="00B21422">
        <w:rPr>
          <w:sz w:val="19"/>
          <w:szCs w:val="19"/>
        </w:rPr>
        <w:t xml:space="preserve"> </w:t>
      </w:r>
    </w:p>
    <w:p w14:paraId="0C904DE1" w14:textId="77777777" w:rsidR="007A53BF" w:rsidRPr="00B21422" w:rsidRDefault="00E81B94" w:rsidP="003225EA">
      <w:pPr>
        <w:pStyle w:val="Heading2"/>
        <w:widowControl/>
        <w:rPr>
          <w:u w:color="FFFF00"/>
        </w:rPr>
      </w:pPr>
      <w:bookmarkStart w:id="39" w:name="_Toc286391007"/>
      <w:bookmarkStart w:id="40" w:name="_Toc473297179"/>
      <w:bookmarkStart w:id="41" w:name="_Toc474759477"/>
      <w:bookmarkStart w:id="42" w:name="_Toc300933423"/>
      <w:bookmarkStart w:id="43" w:name="_Toc370223468"/>
      <w:bookmarkStart w:id="44" w:name="_Toc175381432"/>
      <w:r w:rsidRPr="00B21422">
        <w:rPr>
          <w:u w:color="FFFF00"/>
        </w:rPr>
        <w:t>1</w:t>
      </w:r>
      <w:r w:rsidR="007A53BF" w:rsidRPr="00B21422">
        <w:rPr>
          <w:u w:color="FFFF00"/>
        </w:rPr>
        <w:t>.4</w:t>
      </w:r>
      <w:r w:rsidR="007A53BF" w:rsidRPr="00B21422">
        <w:rPr>
          <w:u w:color="FFFF00"/>
        </w:rPr>
        <w:tab/>
        <w:t>Reasons for accepting Application</w:t>
      </w:r>
      <w:bookmarkEnd w:id="39"/>
      <w:bookmarkEnd w:id="40"/>
      <w:bookmarkEnd w:id="41"/>
      <w:r w:rsidR="007A53BF" w:rsidRPr="00B21422">
        <w:rPr>
          <w:u w:color="FFFF00"/>
        </w:rPr>
        <w:t xml:space="preserve"> </w:t>
      </w:r>
      <w:bookmarkEnd w:id="42"/>
      <w:bookmarkEnd w:id="43"/>
    </w:p>
    <w:p w14:paraId="170856E1" w14:textId="77777777" w:rsidR="00E81B94" w:rsidRPr="00B21422" w:rsidRDefault="00E81B94" w:rsidP="003225EA">
      <w:pPr>
        <w:widowControl/>
      </w:pPr>
      <w:bookmarkStart w:id="45" w:name="_Toc370223469"/>
      <w:bookmarkEnd w:id="44"/>
      <w:r w:rsidRPr="00B21422">
        <w:t>The Application was accepted for assessment because:</w:t>
      </w:r>
    </w:p>
    <w:p w14:paraId="35F9BAAC" w14:textId="77777777" w:rsidR="00E81B94" w:rsidRPr="00B21422" w:rsidRDefault="00E81B94" w:rsidP="003225EA">
      <w:pPr>
        <w:widowControl/>
      </w:pPr>
    </w:p>
    <w:p w14:paraId="487B3685" w14:textId="77777777" w:rsidR="00E81B94" w:rsidRPr="00B21422" w:rsidRDefault="00E81B94" w:rsidP="003225EA">
      <w:pPr>
        <w:pStyle w:val="FSBullet1"/>
        <w:numPr>
          <w:ilvl w:val="0"/>
          <w:numId w:val="4"/>
        </w:numPr>
        <w:ind w:left="567" w:hanging="567"/>
      </w:pPr>
      <w:r w:rsidRPr="00B21422">
        <w:t>it complied with the procedural requirements under subsection 22(2)</w:t>
      </w:r>
    </w:p>
    <w:p w14:paraId="39E76495" w14:textId="77777777" w:rsidR="00E81B94" w:rsidRPr="00B21422" w:rsidRDefault="00E81B94" w:rsidP="003225EA">
      <w:pPr>
        <w:pStyle w:val="FSBullet1"/>
        <w:numPr>
          <w:ilvl w:val="0"/>
          <w:numId w:val="4"/>
        </w:numPr>
        <w:ind w:left="567" w:hanging="567"/>
      </w:pPr>
      <w:r w:rsidRPr="00B21422">
        <w:t>it related to a matter that warranted the variation of a food regulatory measure</w:t>
      </w:r>
    </w:p>
    <w:p w14:paraId="7D0A80EA" w14:textId="77777777" w:rsidR="00E81B94" w:rsidRPr="00B21422" w:rsidRDefault="00E81B94" w:rsidP="003225EA">
      <w:pPr>
        <w:pStyle w:val="FSBullet1"/>
        <w:numPr>
          <w:ilvl w:val="0"/>
          <w:numId w:val="4"/>
        </w:numPr>
        <w:ind w:left="567" w:hanging="567"/>
      </w:pPr>
      <w:r w:rsidRPr="00B21422">
        <w:t>a pre-market safety assessment is required for any substance proposed to be used in infant formula products that does not have a history of safe use at the proposed level in these products in Australia and New Zealand.</w:t>
      </w:r>
    </w:p>
    <w:p w14:paraId="17009A94" w14:textId="77777777" w:rsidR="007A53BF" w:rsidRPr="00B21422" w:rsidRDefault="007A53BF" w:rsidP="003225EA">
      <w:pPr>
        <w:pStyle w:val="Heading2"/>
        <w:keepNext w:val="0"/>
        <w:widowControl/>
      </w:pPr>
      <w:bookmarkStart w:id="46" w:name="_Toc473297180"/>
      <w:bookmarkStart w:id="47" w:name="_Toc474759478"/>
      <w:r w:rsidRPr="00B21422">
        <w:t>1.5</w:t>
      </w:r>
      <w:r w:rsidRPr="00B21422">
        <w:tab/>
        <w:t>Procedure for assessment</w:t>
      </w:r>
      <w:bookmarkEnd w:id="45"/>
      <w:bookmarkEnd w:id="46"/>
      <w:bookmarkEnd w:id="47"/>
    </w:p>
    <w:p w14:paraId="0D36E620" w14:textId="283E7A68" w:rsidR="00E81B94" w:rsidRPr="00B21422" w:rsidRDefault="00E81B94" w:rsidP="003225EA">
      <w:pPr>
        <w:widowControl/>
      </w:pPr>
      <w:r w:rsidRPr="00B21422">
        <w:t xml:space="preserve">The Application </w:t>
      </w:r>
      <w:r w:rsidR="003225EA">
        <w:t>was</w:t>
      </w:r>
      <w:r w:rsidRPr="00B21422">
        <w:t xml:space="preserve"> assessed under the General Procedure.</w:t>
      </w:r>
    </w:p>
    <w:p w14:paraId="0E27229C" w14:textId="77777777" w:rsidR="00422EC9" w:rsidRPr="00687957" w:rsidRDefault="007A53BF" w:rsidP="003225EA">
      <w:pPr>
        <w:pStyle w:val="Heading2"/>
        <w:widowControl/>
      </w:pPr>
      <w:bookmarkStart w:id="48" w:name="_Toc473297181"/>
      <w:bookmarkStart w:id="49" w:name="_Toc474759479"/>
      <w:r>
        <w:t>1</w:t>
      </w:r>
      <w:r w:rsidR="00422EC9">
        <w:t>.6</w:t>
      </w:r>
      <w:r w:rsidR="00422EC9">
        <w:tab/>
      </w:r>
      <w:r w:rsidR="00422EC9" w:rsidRPr="00932F14">
        <w:t>Decision</w:t>
      </w:r>
      <w:bookmarkEnd w:id="48"/>
      <w:bookmarkEnd w:id="49"/>
    </w:p>
    <w:p w14:paraId="4B8C86B4" w14:textId="791FD0D1" w:rsidR="00CB1B66" w:rsidRDefault="00422EC9" w:rsidP="003225EA">
      <w:pPr>
        <w:widowControl/>
      </w:pPr>
      <w:r w:rsidRPr="00687957">
        <w:t xml:space="preserve">The draft </w:t>
      </w:r>
      <w:r w:rsidR="005E1476" w:rsidRPr="00687957">
        <w:t>v</w:t>
      </w:r>
      <w:r w:rsidR="00E30092" w:rsidRPr="00687957">
        <w:t xml:space="preserve">ariation </w:t>
      </w:r>
      <w:r w:rsidRPr="00687957">
        <w:t xml:space="preserve">as proposed following assessment was approved </w:t>
      </w:r>
      <w:r w:rsidR="00015257">
        <w:t xml:space="preserve">with </w:t>
      </w:r>
      <w:r w:rsidR="00E60456">
        <w:t xml:space="preserve">one minor </w:t>
      </w:r>
      <w:r w:rsidR="00015257">
        <w:t>amendment</w:t>
      </w:r>
      <w:r w:rsidR="00015257" w:rsidRPr="00D91EDD">
        <w:t>.</w:t>
      </w:r>
      <w:r w:rsidR="00015257" w:rsidRPr="00D5201C">
        <w:t xml:space="preserve"> </w:t>
      </w:r>
      <w:r w:rsidR="00E60456">
        <w:t xml:space="preserve">This was to renumber </w:t>
      </w:r>
      <w:r w:rsidR="00E60456" w:rsidRPr="008002CF">
        <w:t xml:space="preserve">the new specification </w:t>
      </w:r>
      <w:r w:rsidR="00E60456">
        <w:t>inserted</w:t>
      </w:r>
      <w:r w:rsidR="00E60456" w:rsidRPr="008002CF">
        <w:t xml:space="preserve"> into Schedule 3</w:t>
      </w:r>
      <w:r w:rsidR="00E60456">
        <w:t xml:space="preserve"> to reflect new specifications inserted into Schedule 3 as a result of other approved applications.</w:t>
      </w:r>
    </w:p>
    <w:p w14:paraId="6D6EA5C6" w14:textId="77777777" w:rsidR="00882956" w:rsidRDefault="00882956" w:rsidP="003225EA">
      <w:pPr>
        <w:widowControl/>
      </w:pPr>
    </w:p>
    <w:p w14:paraId="42D52DB2" w14:textId="545BA416" w:rsidR="00C22B07" w:rsidRDefault="002C1A3B" w:rsidP="003225EA">
      <w:pPr>
        <w:widowControl/>
      </w:pPr>
      <w:r w:rsidRPr="00687957">
        <w:t xml:space="preserve">The variation takes effect on </w:t>
      </w:r>
      <w:r w:rsidR="005E1476" w:rsidRPr="00687957">
        <w:t xml:space="preserve">gazettal. </w:t>
      </w:r>
      <w:r w:rsidR="00422EC9" w:rsidRPr="00687957">
        <w:t xml:space="preserve">The </w:t>
      </w:r>
      <w:r w:rsidRPr="00687957">
        <w:t xml:space="preserve">approved </w:t>
      </w:r>
      <w:r w:rsidR="00422EC9" w:rsidRPr="00687957">
        <w:t xml:space="preserve">draft </w:t>
      </w:r>
      <w:r w:rsidR="00E30092" w:rsidRPr="00687957">
        <w:t>standard</w:t>
      </w:r>
      <w:r w:rsidR="00422EC9" w:rsidRPr="00687957">
        <w:t xml:space="preserve"> </w:t>
      </w:r>
      <w:r w:rsidR="005E06C0" w:rsidRPr="00687957">
        <w:t xml:space="preserve">is </w:t>
      </w:r>
      <w:r w:rsidR="00422EC9" w:rsidRPr="00687957">
        <w:t xml:space="preserve">at Attachment A. </w:t>
      </w:r>
    </w:p>
    <w:p w14:paraId="7E305762" w14:textId="77777777" w:rsidR="00C22B07" w:rsidRDefault="00C22B07" w:rsidP="003225EA">
      <w:pPr>
        <w:widowControl/>
      </w:pPr>
    </w:p>
    <w:p w14:paraId="51733039" w14:textId="0746DBE9" w:rsidR="002C1A3B" w:rsidRDefault="005E06C0" w:rsidP="003225EA">
      <w:pPr>
        <w:widowControl/>
      </w:pPr>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3A1DFBA5" w14:textId="77777777" w:rsidR="0012388D" w:rsidRDefault="007A53BF" w:rsidP="003225EA">
      <w:pPr>
        <w:pStyle w:val="Heading1"/>
        <w:widowControl/>
      </w:pPr>
      <w:bookmarkStart w:id="50" w:name="_Toc473297182"/>
      <w:bookmarkStart w:id="51" w:name="_Toc474759480"/>
      <w:bookmarkStart w:id="52" w:name="_Toc11735630"/>
      <w:bookmarkStart w:id="53" w:name="_Toc29883114"/>
      <w:bookmarkStart w:id="54" w:name="_Toc41906801"/>
      <w:bookmarkStart w:id="55" w:name="_Toc41907548"/>
      <w:bookmarkStart w:id="56" w:name="_Toc120358578"/>
      <w:bookmarkStart w:id="57" w:name="_Toc175381435"/>
      <w:bookmarkEnd w:id="6"/>
      <w:bookmarkEnd w:id="7"/>
      <w:bookmarkEnd w:id="8"/>
      <w:bookmarkEnd w:id="9"/>
      <w:bookmarkEnd w:id="10"/>
      <w:r>
        <w:t>2</w:t>
      </w:r>
      <w:r w:rsidR="00AC428E">
        <w:tab/>
      </w:r>
      <w:r w:rsidR="00AF387F" w:rsidRPr="00CC560B">
        <w:t xml:space="preserve">Summary </w:t>
      </w:r>
      <w:r w:rsidR="00AF387F" w:rsidRPr="000B6AF2">
        <w:rPr>
          <w:u w:color="FFFF00"/>
        </w:rPr>
        <w:t>of</w:t>
      </w:r>
      <w:r w:rsidR="00AF387F" w:rsidRPr="00CC560B">
        <w:t xml:space="preserve"> the findings</w:t>
      </w:r>
      <w:bookmarkEnd w:id="50"/>
      <w:bookmarkEnd w:id="51"/>
    </w:p>
    <w:p w14:paraId="0257EA60" w14:textId="6DC72A88" w:rsidR="00184937" w:rsidRPr="00184937" w:rsidRDefault="00184937" w:rsidP="00184937">
      <w:pPr>
        <w:rPr>
          <w:lang w:bidi="ar-SA"/>
        </w:rPr>
      </w:pPr>
      <w:r>
        <w:rPr>
          <w:lang w:bidi="ar-SA"/>
        </w:rPr>
        <w:t xml:space="preserve">Four submissions were received; all supported the proposed variation to the Code, </w:t>
      </w:r>
      <w:r w:rsidR="00DE66D9">
        <w:rPr>
          <w:lang w:bidi="ar-SA"/>
        </w:rPr>
        <w:t xml:space="preserve">but with </w:t>
      </w:r>
      <w:r>
        <w:rPr>
          <w:lang w:bidi="ar-SA"/>
        </w:rPr>
        <w:t xml:space="preserve">one subject to further information on product stability (see </w:t>
      </w:r>
      <w:r w:rsidR="00DE66D9">
        <w:rPr>
          <w:lang w:bidi="ar-SA"/>
        </w:rPr>
        <w:t xml:space="preserve">section </w:t>
      </w:r>
      <w:r>
        <w:rPr>
          <w:lang w:bidi="ar-SA"/>
        </w:rPr>
        <w:t xml:space="preserve">2.1). </w:t>
      </w:r>
    </w:p>
    <w:p w14:paraId="0B637ABB" w14:textId="77777777" w:rsidR="005A7D7A" w:rsidRDefault="005A7D7A" w:rsidP="003225EA">
      <w:pPr>
        <w:pStyle w:val="Heading2"/>
        <w:widowControl/>
      </w:pPr>
      <w:bookmarkStart w:id="58" w:name="_Toc300933438"/>
      <w:bookmarkStart w:id="59" w:name="_Toc370223471"/>
      <w:bookmarkStart w:id="60" w:name="_Toc370225386"/>
      <w:bookmarkStart w:id="61" w:name="_Toc473297183"/>
      <w:bookmarkStart w:id="62" w:name="_Toc474759481"/>
      <w:bookmarkStart w:id="63" w:name="_Toc286391009"/>
      <w:bookmarkStart w:id="64" w:name="_Toc300933425"/>
      <w:bookmarkStart w:id="65" w:name="_Toc309291838"/>
      <w:bookmarkStart w:id="66" w:name="_Toc309385455"/>
      <w:bookmarkStart w:id="67" w:name="_Toc120358583"/>
      <w:bookmarkStart w:id="68" w:name="_Toc175381440"/>
      <w:r>
        <w:br w:type="page"/>
      </w:r>
    </w:p>
    <w:p w14:paraId="2B4BB718" w14:textId="39DDC1E0" w:rsidR="007A53BF" w:rsidRDefault="007A53BF" w:rsidP="003225EA">
      <w:pPr>
        <w:pStyle w:val="Heading2"/>
        <w:widowControl/>
      </w:pPr>
      <w:r w:rsidRPr="002C1A3B">
        <w:lastRenderedPageBreak/>
        <w:t>2.1</w:t>
      </w:r>
      <w:r w:rsidRPr="002C1A3B">
        <w:tab/>
        <w:t xml:space="preserve">Summary of issues raised </w:t>
      </w:r>
      <w:bookmarkEnd w:id="58"/>
      <w:r w:rsidRPr="002C1A3B">
        <w:t>in submissions</w:t>
      </w:r>
      <w:bookmarkEnd w:id="59"/>
      <w:bookmarkEnd w:id="60"/>
      <w:bookmarkEnd w:id="61"/>
      <w:bookmarkEnd w:id="62"/>
    </w:p>
    <w:p w14:paraId="4B6D9CF6" w14:textId="211251DF" w:rsidR="007A53BF" w:rsidRDefault="007A53BF" w:rsidP="00274A61">
      <w:pPr>
        <w:pStyle w:val="FSTableTitle"/>
        <w:keepNext/>
        <w:keepLines/>
        <w:widowControl/>
      </w:pPr>
      <w:r>
        <w:t xml:space="preserve">Table 1: Summary of issues </w:t>
      </w:r>
    </w:p>
    <w:p w14:paraId="1F954C4E" w14:textId="77777777" w:rsidR="00C22B07" w:rsidRPr="00C22B07" w:rsidRDefault="00C22B07" w:rsidP="0063219C"/>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ssues raised in relation to the application and responses "/>
      </w:tblPr>
      <w:tblGrid>
        <w:gridCol w:w="3369"/>
        <w:gridCol w:w="1984"/>
        <w:gridCol w:w="3889"/>
      </w:tblGrid>
      <w:tr w:rsidR="007A53BF" w14:paraId="05BE75AF" w14:textId="77777777" w:rsidTr="005B10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right w:val="none" w:sz="0" w:space="0" w:color="auto"/>
            </w:tcBorders>
          </w:tcPr>
          <w:p w14:paraId="472B69E0" w14:textId="77777777" w:rsidR="007A53BF" w:rsidRPr="008C4E76" w:rsidRDefault="007A53BF" w:rsidP="003225EA">
            <w:pPr>
              <w:pStyle w:val="FSTableHeading"/>
              <w:keepNext/>
              <w:keepLines/>
              <w:widowControl/>
              <w:rPr>
                <w:b/>
              </w:rPr>
            </w:pPr>
            <w:r w:rsidRPr="008C4E76">
              <w:rPr>
                <w:b/>
              </w:rPr>
              <w:t>Issue</w:t>
            </w:r>
          </w:p>
        </w:tc>
        <w:tc>
          <w:tcPr>
            <w:tcW w:w="1984" w:type="dxa"/>
            <w:tcBorders>
              <w:top w:val="none" w:sz="0" w:space="0" w:color="auto"/>
              <w:left w:val="none" w:sz="0" w:space="0" w:color="auto"/>
              <w:bottom w:val="none" w:sz="0" w:space="0" w:color="auto"/>
              <w:right w:val="none" w:sz="0" w:space="0" w:color="auto"/>
            </w:tcBorders>
          </w:tcPr>
          <w:p w14:paraId="67898E6A" w14:textId="77777777" w:rsidR="007A53BF" w:rsidRPr="008C4E76" w:rsidRDefault="007A53BF" w:rsidP="003225EA">
            <w:pPr>
              <w:pStyle w:val="FSTableHeading"/>
              <w:keepNext/>
              <w:keepLines/>
              <w:widowControl/>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3889" w:type="dxa"/>
            <w:tcBorders>
              <w:top w:val="none" w:sz="0" w:space="0" w:color="auto"/>
              <w:left w:val="none" w:sz="0" w:space="0" w:color="auto"/>
              <w:bottom w:val="none" w:sz="0" w:space="0" w:color="auto"/>
              <w:right w:val="none" w:sz="0" w:space="0" w:color="auto"/>
            </w:tcBorders>
          </w:tcPr>
          <w:p w14:paraId="232962C2" w14:textId="07801A17" w:rsidR="001D43F6" w:rsidRPr="008C4E76" w:rsidRDefault="007A53BF" w:rsidP="003225EA">
            <w:pPr>
              <w:pStyle w:val="FSTableHeading"/>
              <w:keepNext/>
              <w:keepLines/>
              <w:widowControl/>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r w:rsidR="001D43F6" w:rsidRPr="008C4E76">
              <w:rPr>
                <w:b/>
              </w:rPr>
              <w:t xml:space="preserve"> </w:t>
            </w:r>
          </w:p>
        </w:tc>
      </w:tr>
      <w:tr w:rsidR="007A53BF" w14:paraId="4412A9C8" w14:textId="77777777" w:rsidTr="005B106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5E8ED66D" w14:textId="3A07BE4D" w:rsidR="009A7B63" w:rsidRPr="00231EE9" w:rsidRDefault="000E0EFC" w:rsidP="005A7D7A">
            <w:pPr>
              <w:keepNext/>
              <w:keepLines/>
              <w:widowControl/>
              <w:autoSpaceDE w:val="0"/>
              <w:autoSpaceDN w:val="0"/>
              <w:adjustRightInd w:val="0"/>
              <w:ind w:left="113" w:hanging="113"/>
              <w:rPr>
                <w:rFonts w:cs="Arial"/>
                <w:b w:val="0"/>
                <w:sz w:val="20"/>
                <w:szCs w:val="20"/>
                <w:lang w:val="en-NZ" w:eastAsia="en-GB" w:bidi="ar-SA"/>
              </w:rPr>
            </w:pPr>
            <w:r w:rsidRPr="00231EE9">
              <w:rPr>
                <w:rFonts w:cs="Arial"/>
                <w:b w:val="0"/>
                <w:sz w:val="20"/>
                <w:szCs w:val="20"/>
                <w:lang w:val="en-NZ" w:eastAsia="en-GB" w:bidi="ar-SA"/>
              </w:rPr>
              <w:t>T</w:t>
            </w:r>
            <w:r w:rsidR="009A7B63" w:rsidRPr="00231EE9">
              <w:rPr>
                <w:rFonts w:cs="Arial"/>
                <w:b w:val="0"/>
                <w:sz w:val="20"/>
                <w:szCs w:val="20"/>
                <w:lang w:val="en-NZ" w:eastAsia="en-GB" w:bidi="ar-SA"/>
              </w:rPr>
              <w:t xml:space="preserve">he stability of DHA-B within </w:t>
            </w:r>
            <w:r w:rsidR="005C5450" w:rsidRPr="00231EE9">
              <w:rPr>
                <w:rFonts w:cs="Arial"/>
                <w:b w:val="0"/>
                <w:sz w:val="20"/>
                <w:szCs w:val="20"/>
                <w:lang w:val="en-NZ" w:eastAsia="en-GB" w:bidi="ar-SA"/>
              </w:rPr>
              <w:t>p</w:t>
            </w:r>
            <w:r w:rsidR="009A7B63" w:rsidRPr="00231EE9">
              <w:rPr>
                <w:rFonts w:cs="Arial"/>
                <w:b w:val="0"/>
                <w:sz w:val="20"/>
                <w:szCs w:val="20"/>
                <w:lang w:val="en-NZ" w:eastAsia="en-GB" w:bidi="ar-SA"/>
              </w:rPr>
              <w:t xml:space="preserve">owdered infant formula products (the most common variety in Australia) has not been demonstrated. </w:t>
            </w:r>
          </w:p>
          <w:p w14:paraId="5936782D" w14:textId="77777777" w:rsidR="00C22B07" w:rsidRDefault="005C5450" w:rsidP="005A7D7A">
            <w:pPr>
              <w:keepNext/>
              <w:keepLines/>
              <w:widowControl/>
              <w:autoSpaceDE w:val="0"/>
              <w:autoSpaceDN w:val="0"/>
              <w:adjustRightInd w:val="0"/>
              <w:ind w:left="113" w:hanging="113"/>
              <w:rPr>
                <w:rFonts w:cs="Arial"/>
                <w:b w:val="0"/>
                <w:sz w:val="20"/>
                <w:szCs w:val="20"/>
                <w:lang w:val="en-NZ" w:eastAsia="en-GB" w:bidi="ar-SA"/>
              </w:rPr>
            </w:pPr>
            <w:r w:rsidRPr="00231EE9">
              <w:rPr>
                <w:rFonts w:cs="Arial"/>
                <w:b w:val="0"/>
                <w:sz w:val="20"/>
                <w:szCs w:val="20"/>
                <w:lang w:val="en-NZ" w:eastAsia="en-GB" w:bidi="ar-SA"/>
              </w:rPr>
              <w:t xml:space="preserve">The </w:t>
            </w:r>
            <w:r w:rsidR="009A7B63" w:rsidRPr="00231EE9">
              <w:rPr>
                <w:rFonts w:cs="Arial"/>
                <w:b w:val="0"/>
                <w:sz w:val="20"/>
                <w:szCs w:val="20"/>
                <w:lang w:val="en-NZ" w:eastAsia="en-GB" w:bidi="ar-SA"/>
              </w:rPr>
              <w:t>manufacturer is responsible for assuring the product is stable throughout its shelf life</w:t>
            </w:r>
            <w:r w:rsidRPr="00231EE9">
              <w:rPr>
                <w:rFonts w:cs="Arial"/>
                <w:b w:val="0"/>
                <w:sz w:val="20"/>
                <w:szCs w:val="20"/>
                <w:lang w:val="en-NZ" w:eastAsia="en-GB" w:bidi="ar-SA"/>
              </w:rPr>
              <w:t>; however, the Applicant should provide information on the stability in all types of infant formula</w:t>
            </w:r>
            <w:r w:rsidR="00687957" w:rsidRPr="00231EE9">
              <w:rPr>
                <w:rFonts w:cs="Arial"/>
                <w:b w:val="0"/>
                <w:sz w:val="20"/>
                <w:szCs w:val="20"/>
                <w:lang w:val="en-NZ" w:eastAsia="en-GB" w:bidi="ar-SA"/>
              </w:rPr>
              <w:t xml:space="preserve"> </w:t>
            </w:r>
            <w:r w:rsidRPr="00231EE9">
              <w:rPr>
                <w:rFonts w:cs="Arial"/>
                <w:b w:val="0"/>
                <w:sz w:val="20"/>
                <w:szCs w:val="20"/>
                <w:lang w:val="en-NZ" w:eastAsia="en-GB" w:bidi="ar-SA"/>
              </w:rPr>
              <w:t>(powdered and liquid).</w:t>
            </w:r>
          </w:p>
          <w:p w14:paraId="76B57FCE" w14:textId="062A5FA5" w:rsidR="005A7D7A" w:rsidRPr="00231EE9" w:rsidRDefault="005A7D7A" w:rsidP="005A7D7A">
            <w:pPr>
              <w:keepNext/>
              <w:keepLines/>
              <w:widowControl/>
              <w:autoSpaceDE w:val="0"/>
              <w:autoSpaceDN w:val="0"/>
              <w:adjustRightInd w:val="0"/>
              <w:ind w:left="113" w:hanging="113"/>
              <w:rPr>
                <w:rFonts w:cs="Arial"/>
                <w:b w:val="0"/>
                <w:sz w:val="20"/>
                <w:szCs w:val="20"/>
              </w:rPr>
            </w:pPr>
          </w:p>
        </w:tc>
        <w:tc>
          <w:tcPr>
            <w:tcW w:w="1984" w:type="dxa"/>
            <w:tcBorders>
              <w:left w:val="none" w:sz="0" w:space="0" w:color="auto"/>
              <w:right w:val="none" w:sz="0" w:space="0" w:color="auto"/>
            </w:tcBorders>
          </w:tcPr>
          <w:p w14:paraId="40BF9117" w14:textId="22A45E8F" w:rsidR="009A7B63" w:rsidRPr="00231EE9" w:rsidRDefault="009A7B63" w:rsidP="005A7D7A">
            <w:pPr>
              <w:keepNext/>
              <w:keepLines/>
              <w:widowControl/>
              <w:autoSpaceDE w:val="0"/>
              <w:autoSpaceDN w:val="0"/>
              <w:adjustRightInd w:val="0"/>
              <w:ind w:left="113" w:hanging="113"/>
              <w:cnfStyle w:val="000000100000" w:firstRow="0" w:lastRow="0" w:firstColumn="0" w:lastColumn="0" w:oddVBand="0" w:evenVBand="0" w:oddHBand="1" w:evenHBand="0" w:firstRowFirstColumn="0" w:firstRowLastColumn="0" w:lastRowFirstColumn="0" w:lastRowLastColumn="0"/>
              <w:rPr>
                <w:rFonts w:cs="Arial"/>
                <w:bCs/>
                <w:sz w:val="20"/>
                <w:szCs w:val="20"/>
                <w:lang w:val="en-NZ" w:eastAsia="en-GB" w:bidi="ar-SA"/>
              </w:rPr>
            </w:pPr>
            <w:r w:rsidRPr="00231EE9">
              <w:rPr>
                <w:rFonts w:cs="Arial"/>
                <w:bCs/>
                <w:sz w:val="20"/>
                <w:szCs w:val="20"/>
                <w:lang w:val="en-NZ" w:eastAsia="en-GB" w:bidi="ar-SA"/>
              </w:rPr>
              <w:t>Victorian Departments of Economic Development, Jobs,</w:t>
            </w:r>
          </w:p>
          <w:p w14:paraId="2BF4FBBF" w14:textId="206B18F4" w:rsidR="007A53BF" w:rsidRPr="00231EE9" w:rsidRDefault="009A7B63" w:rsidP="005A7D7A">
            <w:pPr>
              <w:pStyle w:val="FSTableText"/>
              <w:keepNext/>
              <w:keepLines/>
              <w:widowControl/>
              <w:ind w:left="113" w:hanging="113"/>
              <w:cnfStyle w:val="000000100000" w:firstRow="0" w:lastRow="0" w:firstColumn="0" w:lastColumn="0" w:oddVBand="0" w:evenVBand="0" w:oddHBand="1" w:evenHBand="0" w:firstRowFirstColumn="0" w:firstRowLastColumn="0" w:lastRowFirstColumn="0" w:lastRowLastColumn="0"/>
            </w:pPr>
            <w:r w:rsidRPr="00231EE9">
              <w:rPr>
                <w:bCs/>
                <w:lang w:val="en-NZ" w:eastAsia="en-GB" w:bidi="ar-SA"/>
              </w:rPr>
              <w:t>Transport and Resources</w:t>
            </w:r>
            <w:r w:rsidR="005B1065" w:rsidRPr="00231EE9">
              <w:rPr>
                <w:bCs/>
                <w:lang w:val="en-NZ" w:eastAsia="en-GB" w:bidi="ar-SA"/>
              </w:rPr>
              <w:t>;</w:t>
            </w:r>
            <w:r w:rsidRPr="00231EE9">
              <w:rPr>
                <w:bCs/>
                <w:lang w:val="en-NZ" w:eastAsia="en-GB" w:bidi="ar-SA"/>
              </w:rPr>
              <w:t xml:space="preserve"> and Health and Human Services.</w:t>
            </w:r>
          </w:p>
        </w:tc>
        <w:tc>
          <w:tcPr>
            <w:tcW w:w="3889" w:type="dxa"/>
            <w:tcBorders>
              <w:left w:val="none" w:sz="0" w:space="0" w:color="auto"/>
            </w:tcBorders>
          </w:tcPr>
          <w:p w14:paraId="706A963E" w14:textId="674B98F8" w:rsidR="007A53BF" w:rsidRPr="00231EE9" w:rsidRDefault="00062C3E" w:rsidP="005A7D7A">
            <w:pPr>
              <w:pStyle w:val="FSTableText"/>
              <w:keepNext/>
              <w:keepLines/>
              <w:widowControl/>
              <w:ind w:left="113" w:hanging="113"/>
              <w:cnfStyle w:val="000000100000" w:firstRow="0" w:lastRow="0" w:firstColumn="0" w:lastColumn="0" w:oddVBand="0" w:evenVBand="0" w:oddHBand="1" w:evenHBand="0" w:firstRowFirstColumn="0" w:firstRowLastColumn="0" w:lastRowFirstColumn="0" w:lastRowLastColumn="0"/>
            </w:pPr>
            <w:r w:rsidRPr="00231EE9">
              <w:t>FSANZ re</w:t>
            </w:r>
            <w:r w:rsidR="0045024E" w:rsidRPr="00231EE9">
              <w:t>-</w:t>
            </w:r>
            <w:r w:rsidRPr="00231EE9">
              <w:t xml:space="preserve">contacted the Applicant to request information specific to powdered </w:t>
            </w:r>
            <w:r w:rsidR="00AC7AB4" w:rsidRPr="00231EE9">
              <w:t>infant formula products</w:t>
            </w:r>
            <w:r w:rsidRPr="00231EE9">
              <w:t xml:space="preserve">. </w:t>
            </w:r>
            <w:r w:rsidR="00FC4849" w:rsidRPr="00231EE9">
              <w:t>Commercially confidential information was provided which FSANZ consider</w:t>
            </w:r>
            <w:r w:rsidR="00987BC0" w:rsidRPr="00231EE9">
              <w:t>ed</w:t>
            </w:r>
            <w:r w:rsidR="00FC4849" w:rsidRPr="00231EE9">
              <w:t xml:space="preserve"> demonstrate</w:t>
            </w:r>
            <w:r w:rsidR="00987BC0" w:rsidRPr="00231EE9">
              <w:t>d</w:t>
            </w:r>
            <w:r w:rsidR="00FC4849" w:rsidRPr="00231EE9">
              <w:t xml:space="preserve"> acceptable stability of DHA-B in </w:t>
            </w:r>
            <w:r w:rsidR="00987BC0" w:rsidRPr="00231EE9">
              <w:t>these</w:t>
            </w:r>
            <w:r w:rsidR="003225EA" w:rsidRPr="00231EE9">
              <w:t xml:space="preserve"> products</w:t>
            </w:r>
            <w:r w:rsidR="00FC4849" w:rsidRPr="00231EE9">
              <w:t xml:space="preserve">. </w:t>
            </w:r>
          </w:p>
        </w:tc>
      </w:tr>
      <w:tr w:rsidR="007A53BF" w14:paraId="0649A0CB" w14:textId="77777777" w:rsidTr="0020241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47CD0582" w14:textId="1D857059" w:rsidR="004407A7" w:rsidRPr="00231EE9" w:rsidRDefault="00687957" w:rsidP="005A7D7A">
            <w:pPr>
              <w:pStyle w:val="FSTableText"/>
              <w:keepNext/>
              <w:keepLines/>
              <w:widowControl/>
              <w:ind w:left="113" w:hanging="113"/>
              <w:rPr>
                <w:b w:val="0"/>
              </w:rPr>
            </w:pPr>
            <w:r w:rsidRPr="00231EE9">
              <w:rPr>
                <w:b w:val="0"/>
              </w:rPr>
              <w:t xml:space="preserve">DHA-B is proposed for permission in </w:t>
            </w:r>
            <w:r w:rsidR="005B1065" w:rsidRPr="00231EE9">
              <w:rPr>
                <w:b w:val="0"/>
                <w:lang w:val="en-NZ" w:eastAsia="en-GB" w:bidi="ar-SA"/>
              </w:rPr>
              <w:t xml:space="preserve">infant formula products </w:t>
            </w:r>
            <w:r w:rsidRPr="00231EE9">
              <w:rPr>
                <w:b w:val="0"/>
              </w:rPr>
              <w:t xml:space="preserve">only, whereas other DHA sources are permitted in all foods. </w:t>
            </w:r>
          </w:p>
          <w:p w14:paraId="3CD231B6" w14:textId="77777777" w:rsidR="004407A7" w:rsidRPr="00231EE9" w:rsidRDefault="004407A7" w:rsidP="005A7D7A">
            <w:pPr>
              <w:pStyle w:val="FSTableText"/>
              <w:keepNext/>
              <w:keepLines/>
              <w:widowControl/>
              <w:ind w:left="113" w:hanging="113"/>
              <w:rPr>
                <w:b w:val="0"/>
              </w:rPr>
            </w:pPr>
          </w:p>
          <w:p w14:paraId="099A70D8" w14:textId="0ECA24FA" w:rsidR="007A53BF" w:rsidRPr="00231EE9" w:rsidRDefault="00B60EB9" w:rsidP="005A7D7A">
            <w:pPr>
              <w:pStyle w:val="FSTableText"/>
              <w:keepNext/>
              <w:keepLines/>
              <w:widowControl/>
              <w:ind w:left="113" w:hanging="113"/>
              <w:rPr>
                <w:b w:val="0"/>
              </w:rPr>
            </w:pPr>
            <w:r w:rsidRPr="00231EE9">
              <w:rPr>
                <w:b w:val="0"/>
              </w:rPr>
              <w:t>Suggests a clear explanation of this difference, and r</w:t>
            </w:r>
            <w:r w:rsidR="00687957" w:rsidRPr="00231EE9">
              <w:rPr>
                <w:b w:val="0"/>
              </w:rPr>
              <w:t xml:space="preserve">equests </w:t>
            </w:r>
            <w:r w:rsidRPr="00231EE9">
              <w:rPr>
                <w:b w:val="0"/>
              </w:rPr>
              <w:t>the reasoning behind this limited permission.</w:t>
            </w:r>
          </w:p>
        </w:tc>
        <w:tc>
          <w:tcPr>
            <w:tcW w:w="1984" w:type="dxa"/>
            <w:tcBorders>
              <w:left w:val="none" w:sz="0" w:space="0" w:color="auto"/>
              <w:bottom w:val="single" w:sz="4" w:space="0" w:color="auto"/>
              <w:right w:val="none" w:sz="0" w:space="0" w:color="auto"/>
            </w:tcBorders>
          </w:tcPr>
          <w:p w14:paraId="04E7C2B3" w14:textId="75646B77" w:rsidR="007A53BF" w:rsidRPr="00231EE9" w:rsidRDefault="00793266" w:rsidP="005A7D7A">
            <w:pPr>
              <w:pStyle w:val="FSTableText"/>
              <w:keepNext/>
              <w:keepLines/>
              <w:widowControl/>
              <w:ind w:left="113" w:hanging="113"/>
              <w:cnfStyle w:val="000000010000" w:firstRow="0" w:lastRow="0" w:firstColumn="0" w:lastColumn="0" w:oddVBand="0" w:evenVBand="0" w:oddHBand="0" w:evenHBand="1" w:firstRowFirstColumn="0" w:firstRowLastColumn="0" w:lastRowFirstColumn="0" w:lastRowLastColumn="0"/>
            </w:pPr>
            <w:r w:rsidRPr="00231EE9">
              <w:t>New Zealand Ministry for Primary Industries (</w:t>
            </w:r>
            <w:r w:rsidR="00687957" w:rsidRPr="00231EE9">
              <w:t>MPI</w:t>
            </w:r>
            <w:r w:rsidRPr="00231EE9">
              <w:t>)</w:t>
            </w:r>
          </w:p>
        </w:tc>
        <w:tc>
          <w:tcPr>
            <w:tcW w:w="3889" w:type="dxa"/>
            <w:tcBorders>
              <w:left w:val="none" w:sz="0" w:space="0" w:color="auto"/>
            </w:tcBorders>
          </w:tcPr>
          <w:p w14:paraId="59C2A252" w14:textId="2FB64AC1" w:rsidR="008A1D33" w:rsidRPr="00231EE9" w:rsidRDefault="00062C3E" w:rsidP="005A7D7A">
            <w:pPr>
              <w:pStyle w:val="FSTableText"/>
              <w:keepNext/>
              <w:keepLines/>
              <w:widowControl/>
              <w:ind w:left="113" w:hanging="113"/>
              <w:cnfStyle w:val="000000010000" w:firstRow="0" w:lastRow="0" w:firstColumn="0" w:lastColumn="0" w:oddVBand="0" w:evenVBand="0" w:oddHBand="0" w:evenHBand="1" w:firstRowFirstColumn="0" w:firstRowLastColumn="0" w:lastRowFirstColumn="0" w:lastRowLastColumn="0"/>
            </w:pPr>
            <w:r w:rsidRPr="00231EE9">
              <w:t xml:space="preserve">The Applicant sought </w:t>
            </w:r>
            <w:r w:rsidR="005B1065" w:rsidRPr="00231EE9">
              <w:t xml:space="preserve">permission for </w:t>
            </w:r>
            <w:r w:rsidR="004407A7" w:rsidRPr="00231EE9">
              <w:t xml:space="preserve">DHA-B </w:t>
            </w:r>
            <w:r w:rsidR="00B57054" w:rsidRPr="00231EE9">
              <w:t xml:space="preserve">only </w:t>
            </w:r>
            <w:r w:rsidRPr="00231EE9">
              <w:t>in infant formula products. Therefore the Assessment focussed on this specific request</w:t>
            </w:r>
            <w:r w:rsidR="004407A7" w:rsidRPr="00231EE9">
              <w:t>, as required</w:t>
            </w:r>
            <w:r w:rsidRPr="00231EE9">
              <w:t xml:space="preserve"> in </w:t>
            </w:r>
            <w:r w:rsidR="00AC7AB4" w:rsidRPr="00231EE9">
              <w:t xml:space="preserve">specific policy principle (i) in </w:t>
            </w:r>
            <w:r w:rsidR="004407A7" w:rsidRPr="00231EE9">
              <w:t xml:space="preserve">the </w:t>
            </w:r>
            <w:r w:rsidR="00AC7AB4" w:rsidRPr="00231EE9">
              <w:t xml:space="preserve">infant formula products </w:t>
            </w:r>
            <w:r w:rsidRPr="00231EE9">
              <w:t>policy guid</w:t>
            </w:r>
            <w:r w:rsidR="00AC7AB4" w:rsidRPr="00231EE9">
              <w:t>eline.</w:t>
            </w:r>
            <w:r w:rsidRPr="00231EE9">
              <w:t xml:space="preserve"> </w:t>
            </w:r>
          </w:p>
          <w:p w14:paraId="14E283D7" w14:textId="77777777" w:rsidR="008A1D33" w:rsidRPr="00231EE9" w:rsidRDefault="008A1D33" w:rsidP="005A7D7A">
            <w:pPr>
              <w:pStyle w:val="FSTableText"/>
              <w:keepNext/>
              <w:keepLines/>
              <w:widowControl/>
              <w:ind w:left="113" w:hanging="113"/>
              <w:cnfStyle w:val="000000010000" w:firstRow="0" w:lastRow="0" w:firstColumn="0" w:lastColumn="0" w:oddVBand="0" w:evenVBand="0" w:oddHBand="0" w:evenHBand="1" w:firstRowFirstColumn="0" w:firstRowLastColumn="0" w:lastRowFirstColumn="0" w:lastRowLastColumn="0"/>
            </w:pPr>
          </w:p>
          <w:p w14:paraId="6F642A5C" w14:textId="3EEB8752" w:rsidR="00062C3E" w:rsidRPr="00231EE9" w:rsidRDefault="00062C3E" w:rsidP="005A7D7A">
            <w:pPr>
              <w:pStyle w:val="FSTableText"/>
              <w:keepNext/>
              <w:keepLines/>
              <w:widowControl/>
              <w:ind w:left="113" w:hanging="113"/>
              <w:cnfStyle w:val="000000010000" w:firstRow="0" w:lastRow="0" w:firstColumn="0" w:lastColumn="0" w:oddVBand="0" w:evenVBand="0" w:oddHBand="0" w:evenHBand="1" w:firstRowFirstColumn="0" w:firstRowLastColumn="0" w:lastRowFirstColumn="0" w:lastRowLastColumn="0"/>
            </w:pPr>
            <w:r w:rsidRPr="00231EE9">
              <w:t>B</w:t>
            </w:r>
            <w:r w:rsidR="008922FA" w:rsidRPr="00231EE9">
              <w:t>r</w:t>
            </w:r>
            <w:r w:rsidRPr="00231EE9">
              <w:t xml:space="preserve">oadening permissions to all other foods would require significant </w:t>
            </w:r>
            <w:r w:rsidR="003D433B">
              <w:t xml:space="preserve">risk assessment for population groups other than infants, and </w:t>
            </w:r>
            <w:r w:rsidRPr="00231EE9">
              <w:t xml:space="preserve">dietary modelling </w:t>
            </w:r>
            <w:r w:rsidR="004407A7" w:rsidRPr="00231EE9">
              <w:t xml:space="preserve">which </w:t>
            </w:r>
            <w:r w:rsidRPr="00231EE9">
              <w:t>w</w:t>
            </w:r>
            <w:r w:rsidR="0045024E" w:rsidRPr="00231EE9">
              <w:t>as considered out of scope for</w:t>
            </w:r>
            <w:r w:rsidRPr="00231EE9">
              <w:t xml:space="preserve"> this </w:t>
            </w:r>
            <w:r w:rsidR="0045024E" w:rsidRPr="00231EE9">
              <w:t>Application</w:t>
            </w:r>
            <w:r w:rsidRPr="00231EE9">
              <w:t xml:space="preserve">. </w:t>
            </w:r>
          </w:p>
          <w:p w14:paraId="27A58131" w14:textId="77777777" w:rsidR="00062C3E" w:rsidRPr="00231EE9" w:rsidRDefault="00062C3E" w:rsidP="005A7D7A">
            <w:pPr>
              <w:pStyle w:val="FSTableText"/>
              <w:keepNext/>
              <w:keepLines/>
              <w:widowControl/>
              <w:ind w:left="113" w:hanging="113"/>
              <w:cnfStyle w:val="000000010000" w:firstRow="0" w:lastRow="0" w:firstColumn="0" w:lastColumn="0" w:oddVBand="0" w:evenVBand="0" w:oddHBand="0" w:evenHBand="1" w:firstRowFirstColumn="0" w:firstRowLastColumn="0" w:lastRowFirstColumn="0" w:lastRowLastColumn="0"/>
            </w:pPr>
          </w:p>
          <w:p w14:paraId="6E49BF19" w14:textId="77777777" w:rsidR="00C22B07" w:rsidRDefault="00062C3E" w:rsidP="005A7D7A">
            <w:pPr>
              <w:pStyle w:val="FSTableText"/>
              <w:keepNext/>
              <w:keepLines/>
              <w:widowControl/>
              <w:ind w:left="113" w:hanging="113"/>
              <w:cnfStyle w:val="000000010000" w:firstRow="0" w:lastRow="0" w:firstColumn="0" w:lastColumn="0" w:oddVBand="0" w:evenVBand="0" w:oddHBand="0" w:evenHBand="1" w:firstRowFirstColumn="0" w:firstRowLastColumn="0" w:lastRowFirstColumn="0" w:lastRowLastColumn="0"/>
            </w:pPr>
            <w:r w:rsidRPr="00231EE9">
              <w:t xml:space="preserve">Also, previous Applications </w:t>
            </w:r>
            <w:r w:rsidR="00ED08B7" w:rsidRPr="00231EE9">
              <w:t xml:space="preserve">(e.g. A522) </w:t>
            </w:r>
            <w:r w:rsidRPr="00231EE9">
              <w:t xml:space="preserve">did not specifically request </w:t>
            </w:r>
            <w:r w:rsidR="00734DFF" w:rsidRPr="00231EE9">
              <w:t xml:space="preserve">permission for </w:t>
            </w:r>
            <w:r w:rsidR="00AC7AB4" w:rsidRPr="00231EE9">
              <w:t>infant formula products a</w:t>
            </w:r>
            <w:r w:rsidRPr="00231EE9">
              <w:t>nd/or other foods so were considered more broadly</w:t>
            </w:r>
            <w:r w:rsidR="00734DFF" w:rsidRPr="00231EE9">
              <w:t xml:space="preserve"> at that time.</w:t>
            </w:r>
          </w:p>
          <w:p w14:paraId="4A24F14B" w14:textId="01F44C6D" w:rsidR="005A7D7A" w:rsidRPr="00231EE9" w:rsidRDefault="005A7D7A" w:rsidP="005A7D7A">
            <w:pPr>
              <w:pStyle w:val="FSTableText"/>
              <w:keepNext/>
              <w:keepLines/>
              <w:widowControl/>
              <w:ind w:left="113" w:hanging="113"/>
              <w:cnfStyle w:val="000000010000" w:firstRow="0" w:lastRow="0" w:firstColumn="0" w:lastColumn="0" w:oddVBand="0" w:evenVBand="0" w:oddHBand="0" w:evenHBand="1" w:firstRowFirstColumn="0" w:firstRowLastColumn="0" w:lastRowFirstColumn="0" w:lastRowLastColumn="0"/>
            </w:pPr>
          </w:p>
        </w:tc>
      </w:tr>
      <w:tr w:rsidR="00E139CA" w14:paraId="704918BA" w14:textId="77777777" w:rsidTr="002024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auto"/>
            </w:tcBorders>
          </w:tcPr>
          <w:p w14:paraId="02EECCC3" w14:textId="77777777" w:rsidR="00C22B07" w:rsidRDefault="00FC3A90" w:rsidP="005A7D7A">
            <w:pPr>
              <w:pStyle w:val="FSTableText"/>
              <w:keepNext/>
              <w:keepLines/>
              <w:widowControl/>
              <w:ind w:left="113" w:hanging="113"/>
              <w:rPr>
                <w:b w:val="0"/>
              </w:rPr>
            </w:pPr>
            <w:r w:rsidRPr="00231EE9">
              <w:rPr>
                <w:b w:val="0"/>
              </w:rPr>
              <w:t>Not all sources of DHA</w:t>
            </w:r>
            <w:r w:rsidR="00E139CA" w:rsidRPr="00231EE9">
              <w:rPr>
                <w:b w:val="0"/>
              </w:rPr>
              <w:t xml:space="preserve"> oils are listed as novel foods under Standard 1.5.1 – </w:t>
            </w:r>
            <w:r w:rsidR="00E877E9" w:rsidRPr="00231EE9">
              <w:rPr>
                <w:b w:val="0"/>
              </w:rPr>
              <w:t xml:space="preserve">Schedule </w:t>
            </w:r>
            <w:r w:rsidR="002134D7" w:rsidRPr="00231EE9">
              <w:rPr>
                <w:b w:val="0"/>
              </w:rPr>
              <w:t>25-2</w:t>
            </w:r>
            <w:r w:rsidR="00E139CA" w:rsidRPr="00231EE9">
              <w:rPr>
                <w:b w:val="0"/>
              </w:rPr>
              <w:t xml:space="preserve"> i.e. </w:t>
            </w:r>
            <w:r w:rsidR="00E139CA" w:rsidRPr="00231EE9">
              <w:rPr>
                <w:b w:val="0"/>
                <w:i/>
              </w:rPr>
              <w:t>Crypthecodinium cohni</w:t>
            </w:r>
            <w:r w:rsidR="00E139CA" w:rsidRPr="00231EE9">
              <w:rPr>
                <w:b w:val="0"/>
              </w:rPr>
              <w:t xml:space="preserve">, although specifications are provided in </w:t>
            </w:r>
            <w:r w:rsidR="00C22B07" w:rsidRPr="00231EE9">
              <w:rPr>
                <w:b w:val="0"/>
              </w:rPr>
              <w:t>s</w:t>
            </w:r>
            <w:r w:rsidR="00C22B07">
              <w:rPr>
                <w:b w:val="0"/>
              </w:rPr>
              <w:t>ection</w:t>
            </w:r>
            <w:r w:rsidR="00C22B07" w:rsidRPr="00231EE9">
              <w:rPr>
                <w:b w:val="0"/>
              </w:rPr>
              <w:t xml:space="preserve"> </w:t>
            </w:r>
            <w:r w:rsidR="00E139CA" w:rsidRPr="00231EE9">
              <w:rPr>
                <w:b w:val="0"/>
              </w:rPr>
              <w:t xml:space="preserve">S3-19 for this oil. </w:t>
            </w:r>
          </w:p>
          <w:p w14:paraId="6E102F80" w14:textId="051FED56" w:rsidR="005A7D7A" w:rsidRPr="00231EE9" w:rsidRDefault="005A7D7A" w:rsidP="005A7D7A">
            <w:pPr>
              <w:pStyle w:val="FSTableText"/>
              <w:keepNext/>
              <w:keepLines/>
              <w:widowControl/>
              <w:ind w:left="113" w:hanging="113"/>
              <w:rPr>
                <w:b w:val="0"/>
              </w:rPr>
            </w:pPr>
          </w:p>
        </w:tc>
        <w:tc>
          <w:tcPr>
            <w:tcW w:w="1984" w:type="dxa"/>
            <w:tcBorders>
              <w:left w:val="single" w:sz="4" w:space="0" w:color="auto"/>
              <w:right w:val="single" w:sz="4" w:space="0" w:color="auto"/>
            </w:tcBorders>
          </w:tcPr>
          <w:p w14:paraId="7DFB4213" w14:textId="79435AD7" w:rsidR="00E139CA" w:rsidRPr="00231EE9" w:rsidRDefault="00E139CA" w:rsidP="005A7D7A">
            <w:pPr>
              <w:pStyle w:val="FSTableText"/>
              <w:keepNext/>
              <w:keepLines/>
              <w:widowControl/>
              <w:ind w:left="113" w:hanging="113"/>
              <w:cnfStyle w:val="000000100000" w:firstRow="0" w:lastRow="0" w:firstColumn="0" w:lastColumn="0" w:oddVBand="0" w:evenVBand="0" w:oddHBand="1" w:evenHBand="0" w:firstRowFirstColumn="0" w:firstRowLastColumn="0" w:lastRowFirstColumn="0" w:lastRowLastColumn="0"/>
            </w:pPr>
            <w:r w:rsidRPr="00231EE9">
              <w:t>MPI</w:t>
            </w:r>
          </w:p>
        </w:tc>
        <w:tc>
          <w:tcPr>
            <w:tcW w:w="3889" w:type="dxa"/>
            <w:tcBorders>
              <w:left w:val="single" w:sz="4" w:space="0" w:color="auto"/>
            </w:tcBorders>
          </w:tcPr>
          <w:p w14:paraId="2B22C76B" w14:textId="0D9CC7AB" w:rsidR="00E139CA" w:rsidRPr="00231EE9" w:rsidRDefault="00734DFF" w:rsidP="005A7D7A">
            <w:pPr>
              <w:pStyle w:val="FSTableText"/>
              <w:keepNext/>
              <w:keepLines/>
              <w:widowControl/>
              <w:ind w:left="113" w:hanging="113"/>
              <w:cnfStyle w:val="000000100000" w:firstRow="0" w:lastRow="0" w:firstColumn="0" w:lastColumn="0" w:oddVBand="0" w:evenVBand="0" w:oddHBand="1" w:evenHBand="0" w:firstRowFirstColumn="0" w:firstRowLastColumn="0" w:lastRowFirstColumn="0" w:lastRowLastColumn="0"/>
              <w:rPr>
                <w:highlight w:val="yellow"/>
              </w:rPr>
            </w:pPr>
            <w:r w:rsidRPr="00231EE9">
              <w:t xml:space="preserve">This lack of clarity in the Code is acknowledged and will be dealt with elsewhere e.g. under a relevant </w:t>
            </w:r>
            <w:r w:rsidR="00B57054" w:rsidRPr="00231EE9">
              <w:t xml:space="preserve">proposal </w:t>
            </w:r>
            <w:r w:rsidRPr="00231EE9">
              <w:t>such as P1028 or P1024, as it is out of scope of this Application.</w:t>
            </w:r>
          </w:p>
        </w:tc>
      </w:tr>
    </w:tbl>
    <w:p w14:paraId="32D2D71C" w14:textId="77777777" w:rsidR="002C1A3B" w:rsidRPr="00B21422" w:rsidRDefault="002C1A3B" w:rsidP="003225EA">
      <w:pPr>
        <w:pStyle w:val="Heading2"/>
        <w:widowControl/>
      </w:pPr>
      <w:bookmarkStart w:id="69" w:name="_Toc370223472"/>
      <w:bookmarkStart w:id="70" w:name="_Toc370225387"/>
      <w:bookmarkStart w:id="71" w:name="_Toc473297184"/>
      <w:bookmarkStart w:id="72" w:name="_Toc474759482"/>
      <w:bookmarkStart w:id="73" w:name="_Toc309291812"/>
      <w:bookmarkStart w:id="74" w:name="_Toc175381442"/>
      <w:bookmarkEnd w:id="63"/>
      <w:bookmarkEnd w:id="64"/>
      <w:bookmarkEnd w:id="65"/>
      <w:bookmarkEnd w:id="66"/>
      <w:bookmarkEnd w:id="67"/>
      <w:bookmarkEnd w:id="68"/>
      <w:r w:rsidRPr="00B21422">
        <w:t>2.2</w:t>
      </w:r>
      <w:r w:rsidRPr="00B21422">
        <w:tab/>
        <w:t>Risk assessment</w:t>
      </w:r>
      <w:bookmarkEnd w:id="69"/>
      <w:bookmarkEnd w:id="70"/>
      <w:bookmarkEnd w:id="71"/>
      <w:bookmarkEnd w:id="72"/>
      <w:r w:rsidRPr="00B21422">
        <w:t xml:space="preserve"> </w:t>
      </w:r>
    </w:p>
    <w:p w14:paraId="74DA1401" w14:textId="1BB26C97" w:rsidR="00BD681B" w:rsidRDefault="00704375" w:rsidP="00377D03">
      <w:pPr>
        <w:widowControl/>
        <w:rPr>
          <w:szCs w:val="22"/>
        </w:rPr>
      </w:pPr>
      <w:r w:rsidRPr="00B21422">
        <w:rPr>
          <w:szCs w:val="22"/>
        </w:rPr>
        <w:t>FSANZ has previously assessed several marine micro-algal DHA-rich oils for use in infant formula products</w:t>
      </w:r>
      <w:r w:rsidR="004864A3" w:rsidRPr="004864A3">
        <w:rPr>
          <w:szCs w:val="22"/>
        </w:rPr>
        <w:t xml:space="preserve"> </w:t>
      </w:r>
      <w:r w:rsidR="004864A3">
        <w:rPr>
          <w:szCs w:val="22"/>
        </w:rPr>
        <w:t xml:space="preserve">e.g. </w:t>
      </w:r>
      <w:r w:rsidR="004864A3" w:rsidRPr="006D2FEE">
        <w:rPr>
          <w:szCs w:val="22"/>
        </w:rPr>
        <w:t xml:space="preserve">DHASCO and </w:t>
      </w:r>
      <w:r w:rsidR="004864A3" w:rsidRPr="006D2FEE">
        <w:rPr>
          <w:caps/>
        </w:rPr>
        <w:t>ARASCO</w:t>
      </w:r>
      <w:r w:rsidR="004864A3" w:rsidRPr="006D2FEE">
        <w:rPr>
          <w:szCs w:val="22"/>
        </w:rPr>
        <w:t xml:space="preserve"> </w:t>
      </w:r>
      <w:r w:rsidR="00C356E2" w:rsidRPr="006D2FEE">
        <w:rPr>
          <w:szCs w:val="22"/>
        </w:rPr>
        <w:t xml:space="preserve">oils </w:t>
      </w:r>
      <w:r w:rsidR="004864A3" w:rsidRPr="006D2FEE">
        <w:rPr>
          <w:szCs w:val="22"/>
        </w:rPr>
        <w:t xml:space="preserve">were assessed under </w:t>
      </w:r>
      <w:hyperlink r:id="rId22" w:history="1">
        <w:r w:rsidR="00377D03" w:rsidRPr="006D2FEE">
          <w:rPr>
            <w:rStyle w:val="Hyperlink"/>
            <w:szCs w:val="22"/>
          </w:rPr>
          <w:t>Proposal P93</w:t>
        </w:r>
      </w:hyperlink>
      <w:r w:rsidR="00BD681B" w:rsidRPr="006D2FEE">
        <w:rPr>
          <w:rStyle w:val="FootnoteReference"/>
          <w:szCs w:val="22"/>
        </w:rPr>
        <w:footnoteReference w:id="6"/>
      </w:r>
      <w:r w:rsidR="00BD681B">
        <w:rPr>
          <w:rStyle w:val="Hyperlink"/>
          <w:szCs w:val="22"/>
        </w:rPr>
        <w:t xml:space="preserve"> </w:t>
      </w:r>
      <w:r w:rsidR="005A7D7A">
        <w:rPr>
          <w:szCs w:val="22"/>
        </w:rPr>
        <w:t>–</w:t>
      </w:r>
      <w:r w:rsidR="00377D03" w:rsidRPr="006D2FEE">
        <w:rPr>
          <w:szCs w:val="22"/>
        </w:rPr>
        <w:t xml:space="preserve"> </w:t>
      </w:r>
      <w:r w:rsidR="00377D03" w:rsidRPr="005A7D7A">
        <w:rPr>
          <w:szCs w:val="22"/>
        </w:rPr>
        <w:t>Review of Infant formula</w:t>
      </w:r>
      <w:r w:rsidR="00377D03" w:rsidRPr="006D2FEE">
        <w:rPr>
          <w:szCs w:val="22"/>
        </w:rPr>
        <w:t xml:space="preserve">, </w:t>
      </w:r>
      <w:r w:rsidR="004864A3" w:rsidRPr="006D2FEE">
        <w:rPr>
          <w:szCs w:val="22"/>
        </w:rPr>
        <w:t xml:space="preserve">and determined to be </w:t>
      </w:r>
      <w:r w:rsidR="004864A3" w:rsidRPr="006D2FEE">
        <w:rPr>
          <w:rFonts w:cstheme="minorBidi"/>
          <w:szCs w:val="22"/>
        </w:rPr>
        <w:t xml:space="preserve">“a safe source of </w:t>
      </w:r>
      <w:r w:rsidR="004864A3" w:rsidRPr="006D2FEE">
        <w:t>LCPUFAs for supplementation of infant formula”</w:t>
      </w:r>
      <w:r w:rsidRPr="006D2FEE">
        <w:rPr>
          <w:szCs w:val="22"/>
        </w:rPr>
        <w:t>.</w:t>
      </w:r>
      <w:r w:rsidRPr="00B21422">
        <w:rPr>
          <w:szCs w:val="22"/>
        </w:rPr>
        <w:t xml:space="preserve"> The composition of the new strain of </w:t>
      </w:r>
      <w:r w:rsidRPr="00B21422">
        <w:rPr>
          <w:i/>
          <w:iCs/>
          <w:szCs w:val="22"/>
        </w:rPr>
        <w:t>Schizochytrium</w:t>
      </w:r>
      <w:r w:rsidRPr="00B21422">
        <w:rPr>
          <w:szCs w:val="22"/>
        </w:rPr>
        <w:t xml:space="preserve"> sp. micro-algae and its oil are comparable to other currently permitted sources of DHA</w:t>
      </w:r>
      <w:r w:rsidR="004864A3">
        <w:rPr>
          <w:szCs w:val="22"/>
        </w:rPr>
        <w:t xml:space="preserve">. </w:t>
      </w:r>
      <w:r w:rsidR="00BD681B">
        <w:rPr>
          <w:szCs w:val="22"/>
        </w:rPr>
        <w:br w:type="page"/>
      </w:r>
    </w:p>
    <w:p w14:paraId="4041E7C4" w14:textId="5CC558B3" w:rsidR="005F73C9" w:rsidRDefault="00704375" w:rsidP="003225EA">
      <w:pPr>
        <w:widowControl/>
      </w:pPr>
      <w:r w:rsidRPr="00B21422">
        <w:rPr>
          <w:szCs w:val="22"/>
          <w:lang w:eastAsia="en-AU"/>
        </w:rPr>
        <w:lastRenderedPageBreak/>
        <w:t>Therefore</w:t>
      </w:r>
      <w:r w:rsidR="00A7640E">
        <w:rPr>
          <w:szCs w:val="22"/>
          <w:lang w:eastAsia="en-AU"/>
        </w:rPr>
        <w:t>,</w:t>
      </w:r>
      <w:r w:rsidRPr="00B21422">
        <w:rPr>
          <w:szCs w:val="22"/>
          <w:lang w:eastAsia="en-AU"/>
        </w:rPr>
        <w:t xml:space="preserve"> the objective of this</w:t>
      </w:r>
      <w:r w:rsidR="00CF1D57" w:rsidRPr="00B21422">
        <w:rPr>
          <w:szCs w:val="22"/>
          <w:lang w:eastAsia="en-AU"/>
        </w:rPr>
        <w:t xml:space="preserve"> risk and technical assessment wa</w:t>
      </w:r>
      <w:r w:rsidRPr="00B21422">
        <w:rPr>
          <w:szCs w:val="22"/>
          <w:lang w:eastAsia="en-AU"/>
        </w:rPr>
        <w:t xml:space="preserve">s to evaluate the safety of this new production strain of </w:t>
      </w:r>
      <w:r w:rsidRPr="00B21422">
        <w:rPr>
          <w:i/>
          <w:iCs/>
          <w:szCs w:val="22"/>
        </w:rPr>
        <w:t xml:space="preserve">Schizochytrium </w:t>
      </w:r>
      <w:r w:rsidRPr="00B21422">
        <w:rPr>
          <w:szCs w:val="22"/>
        </w:rPr>
        <w:t>species algae</w:t>
      </w:r>
      <w:r w:rsidR="00C356E2">
        <w:rPr>
          <w:szCs w:val="22"/>
        </w:rPr>
        <w:t>,</w:t>
      </w:r>
      <w:r w:rsidRPr="00B21422">
        <w:rPr>
          <w:szCs w:val="22"/>
        </w:rPr>
        <w:t xml:space="preserve"> </w:t>
      </w:r>
      <w:r w:rsidRPr="002D1F2B">
        <w:rPr>
          <w:szCs w:val="22"/>
        </w:rPr>
        <w:t>as an additional</w:t>
      </w:r>
      <w:r w:rsidR="00AC7AB4">
        <w:rPr>
          <w:szCs w:val="22"/>
        </w:rPr>
        <w:t xml:space="preserve"> or</w:t>
      </w:r>
      <w:r w:rsidRPr="002D1F2B">
        <w:rPr>
          <w:szCs w:val="22"/>
        </w:rPr>
        <w:t xml:space="preserve"> alternative </w:t>
      </w:r>
      <w:r w:rsidR="00B57054" w:rsidRPr="002D1F2B">
        <w:rPr>
          <w:szCs w:val="22"/>
        </w:rPr>
        <w:t xml:space="preserve">source </w:t>
      </w:r>
      <w:r w:rsidR="00B57054">
        <w:rPr>
          <w:szCs w:val="22"/>
        </w:rPr>
        <w:t xml:space="preserve">of </w:t>
      </w:r>
      <w:r w:rsidRPr="002D1F2B">
        <w:rPr>
          <w:szCs w:val="22"/>
        </w:rPr>
        <w:t xml:space="preserve">DHA oil for </w:t>
      </w:r>
      <w:r w:rsidR="00B57054">
        <w:rPr>
          <w:szCs w:val="22"/>
        </w:rPr>
        <w:t xml:space="preserve">use in </w:t>
      </w:r>
      <w:r w:rsidRPr="002D1F2B">
        <w:rPr>
          <w:szCs w:val="22"/>
        </w:rPr>
        <w:t xml:space="preserve">infant formula products. </w:t>
      </w:r>
      <w:r w:rsidR="005F73C9" w:rsidRPr="002D1F2B">
        <w:rPr>
          <w:szCs w:val="22"/>
        </w:rPr>
        <w:t xml:space="preserve">A wider assessment of the use of </w:t>
      </w:r>
      <w:r w:rsidR="005F73C9" w:rsidRPr="002D1F2B">
        <w:t xml:space="preserve">DHA-B in other foods was not undertaken as it was </w:t>
      </w:r>
      <w:r w:rsidR="002D1F2B" w:rsidRPr="002D1F2B">
        <w:t xml:space="preserve">considered to be out of scope for </w:t>
      </w:r>
      <w:r w:rsidR="005F73C9" w:rsidRPr="002D1F2B">
        <w:t xml:space="preserve">this Application. </w:t>
      </w:r>
    </w:p>
    <w:p w14:paraId="2957F0DD" w14:textId="6A262497" w:rsidR="002134D7" w:rsidRDefault="002134D7" w:rsidP="003225EA">
      <w:pPr>
        <w:widowControl/>
        <w:rPr>
          <w:szCs w:val="22"/>
        </w:rPr>
      </w:pPr>
    </w:p>
    <w:p w14:paraId="45217DCB" w14:textId="5B504E33" w:rsidR="00704375" w:rsidRPr="00B21422" w:rsidRDefault="00CF1D57" w:rsidP="003225EA">
      <w:pPr>
        <w:widowControl/>
      </w:pPr>
      <w:r w:rsidRPr="00B21422">
        <w:t xml:space="preserve">FSANZ’s </w:t>
      </w:r>
      <w:r w:rsidR="00704375" w:rsidRPr="00B21422">
        <w:t xml:space="preserve">risk and technical assessment conclusions (see SD1) </w:t>
      </w:r>
      <w:r w:rsidR="003225EA">
        <w:t>are</w:t>
      </w:r>
      <w:r w:rsidR="00704375" w:rsidRPr="00B21422">
        <w:t xml:space="preserve"> summarised as follows:</w:t>
      </w:r>
    </w:p>
    <w:p w14:paraId="30E3A9F1" w14:textId="5085359A" w:rsidR="00704375" w:rsidRPr="00B21422" w:rsidRDefault="00704375" w:rsidP="003225EA">
      <w:pPr>
        <w:widowControl/>
      </w:pPr>
    </w:p>
    <w:p w14:paraId="28FB4A2F" w14:textId="6C425F7A" w:rsidR="00704375" w:rsidRPr="00FB4D29" w:rsidRDefault="00CF1D57" w:rsidP="00BD681B">
      <w:pPr>
        <w:pStyle w:val="FSBullet1"/>
        <w:rPr>
          <w:rFonts w:eastAsiaTheme="minorHAnsi"/>
        </w:rPr>
      </w:pPr>
      <w:r w:rsidRPr="00B21422">
        <w:t>T</w:t>
      </w:r>
      <w:r w:rsidR="00704375" w:rsidRPr="00B21422">
        <w:t xml:space="preserve">he Applicant provided sufficient technical data to </w:t>
      </w:r>
      <w:r w:rsidRPr="00B21422">
        <w:t xml:space="preserve">demonstrate </w:t>
      </w:r>
      <w:r w:rsidR="00704375" w:rsidRPr="00B21422">
        <w:t>that DHA-B is suitable as an additional</w:t>
      </w:r>
      <w:r w:rsidR="00AC7AB4">
        <w:t xml:space="preserve"> or</w:t>
      </w:r>
      <w:r w:rsidR="00704375" w:rsidRPr="00B21422">
        <w:t xml:space="preserve"> alternative </w:t>
      </w:r>
      <w:r w:rsidR="00B57054" w:rsidRPr="00B21422">
        <w:t xml:space="preserve">source </w:t>
      </w:r>
      <w:r w:rsidR="00B57054">
        <w:t xml:space="preserve">of </w:t>
      </w:r>
      <w:r w:rsidR="00704375" w:rsidRPr="00B21422">
        <w:t xml:space="preserve">DHA oil </w:t>
      </w:r>
      <w:r w:rsidRPr="00B21422">
        <w:t xml:space="preserve">for use </w:t>
      </w:r>
      <w:r w:rsidR="00704375" w:rsidRPr="00B21422">
        <w:t xml:space="preserve">in infant formula products. The submitted data </w:t>
      </w:r>
      <w:r w:rsidR="00524FB2" w:rsidRPr="00B21422">
        <w:t>were</w:t>
      </w:r>
      <w:r w:rsidR="00704375" w:rsidRPr="00B21422">
        <w:t xml:space="preserve"> considered adequate to define the hazard of DHA-B; define the nutritional adequacy of DHA-B</w:t>
      </w:r>
      <w:r w:rsidR="00524FB2" w:rsidRPr="00B21422">
        <w:t>;</w:t>
      </w:r>
      <w:r w:rsidR="00704375" w:rsidRPr="00B21422">
        <w:t xml:space="preserve"> and </w:t>
      </w:r>
      <w:r w:rsidR="00524FB2" w:rsidRPr="00B21422">
        <w:t xml:space="preserve">to </w:t>
      </w:r>
      <w:r w:rsidR="00704375" w:rsidRPr="00B21422">
        <w:t>support the conclusion that DHA-B is a safe source of DHA for supplementation of infant formula products.</w:t>
      </w:r>
    </w:p>
    <w:p w14:paraId="4B59B96D" w14:textId="77777777" w:rsidR="00704375" w:rsidRPr="00B21422" w:rsidRDefault="00704375" w:rsidP="003225EA">
      <w:pPr>
        <w:pStyle w:val="FSBullet1"/>
        <w:numPr>
          <w:ilvl w:val="0"/>
          <w:numId w:val="0"/>
        </w:numPr>
        <w:ind w:left="720"/>
      </w:pPr>
    </w:p>
    <w:p w14:paraId="0FCFF57E" w14:textId="0F7FEF13" w:rsidR="00BD2155" w:rsidRDefault="00704375" w:rsidP="003225EA">
      <w:pPr>
        <w:pStyle w:val="FSBullet1"/>
        <w:numPr>
          <w:ilvl w:val="0"/>
          <w:numId w:val="4"/>
        </w:numPr>
        <w:ind w:left="567" w:hanging="567"/>
      </w:pPr>
      <w:r w:rsidRPr="00B21422">
        <w:t xml:space="preserve">No evidence was found of reproductive or developmental toxicity, or toxicity as a consequence of subchronic dietary consumption of either dried </w:t>
      </w:r>
      <w:r w:rsidRPr="00BD2155">
        <w:rPr>
          <w:i/>
          <w:iCs/>
        </w:rPr>
        <w:t>Schizochytrium</w:t>
      </w:r>
      <w:r w:rsidRPr="00B21422">
        <w:t xml:space="preserve"> or DHA-B by experimental animals. </w:t>
      </w:r>
      <w:r w:rsidR="004E254F">
        <w:t>The weight of evidence indicates that DHA-B is unlikely to be genotoxic.</w:t>
      </w:r>
    </w:p>
    <w:p w14:paraId="61BC3398" w14:textId="77777777" w:rsidR="00F7745D" w:rsidRPr="00F7745D" w:rsidRDefault="00F7745D" w:rsidP="00BD2155">
      <w:pPr>
        <w:pStyle w:val="FSBullet1"/>
        <w:numPr>
          <w:ilvl w:val="0"/>
          <w:numId w:val="0"/>
        </w:numPr>
        <w:ind w:left="567"/>
      </w:pPr>
    </w:p>
    <w:p w14:paraId="4C2B67F5" w14:textId="38098EE8" w:rsidR="00704375" w:rsidRPr="00F7745D" w:rsidRDefault="00704375" w:rsidP="003225EA">
      <w:pPr>
        <w:pStyle w:val="FSBullet1"/>
        <w:numPr>
          <w:ilvl w:val="0"/>
          <w:numId w:val="4"/>
        </w:numPr>
        <w:ind w:left="567" w:hanging="567"/>
      </w:pPr>
      <w:r w:rsidRPr="00F7745D">
        <w:t>DHA-B was found to be bioequivalent to DHASCO</w:t>
      </w:r>
      <w:r w:rsidRPr="00F7745D">
        <w:rPr>
          <w:vertAlign w:val="superscript"/>
        </w:rPr>
        <w:t>®</w:t>
      </w:r>
      <w:r w:rsidRPr="00F7745D">
        <w:t xml:space="preserve"> and to have no adverse effects in baby piglets at consumption levels higher than those likely to occur in formula-fed infants. </w:t>
      </w:r>
    </w:p>
    <w:p w14:paraId="38400848" w14:textId="77777777" w:rsidR="00F7745D" w:rsidRPr="00F7745D" w:rsidRDefault="00F7745D" w:rsidP="00F7745D">
      <w:pPr>
        <w:rPr>
          <w:lang w:bidi="ar-SA"/>
        </w:rPr>
      </w:pPr>
    </w:p>
    <w:p w14:paraId="5DC9CEAC" w14:textId="43864822" w:rsidR="00C21F72" w:rsidRDefault="00704375" w:rsidP="00C21F72">
      <w:pPr>
        <w:pStyle w:val="FSBullet1"/>
        <w:numPr>
          <w:ilvl w:val="0"/>
          <w:numId w:val="4"/>
        </w:numPr>
        <w:ind w:left="567" w:hanging="567"/>
      </w:pPr>
      <w:r w:rsidRPr="00B21422">
        <w:t xml:space="preserve">There is no evidence to suggest that absorption, distribution, metabolism and excretion of DHA-B would be different to that of the other marine micro-algae oils. </w:t>
      </w:r>
    </w:p>
    <w:p w14:paraId="0354D365" w14:textId="77777777" w:rsidR="00DF15E7" w:rsidRPr="00DF15E7" w:rsidRDefault="00DF15E7" w:rsidP="00DF15E7">
      <w:pPr>
        <w:rPr>
          <w:lang w:bidi="ar-SA"/>
        </w:rPr>
      </w:pPr>
    </w:p>
    <w:p w14:paraId="42B1E87A" w14:textId="31C8C29F" w:rsidR="00704375" w:rsidRPr="00B21422" w:rsidRDefault="00704375" w:rsidP="003225EA">
      <w:pPr>
        <w:pStyle w:val="FSBullet1"/>
        <w:numPr>
          <w:ilvl w:val="0"/>
          <w:numId w:val="4"/>
        </w:numPr>
        <w:ind w:left="567" w:hanging="567"/>
      </w:pPr>
      <w:r w:rsidRPr="00B21422">
        <w:t xml:space="preserve">The fatty acids in DHA-B </w:t>
      </w:r>
      <w:r w:rsidR="0083579F">
        <w:t>are found in a range of other</w:t>
      </w:r>
      <w:r w:rsidRPr="00B21422">
        <w:t xml:space="preserve"> edible oils. </w:t>
      </w:r>
    </w:p>
    <w:p w14:paraId="3E30794C" w14:textId="77777777" w:rsidR="00704375" w:rsidRPr="00B21422" w:rsidRDefault="00704375" w:rsidP="003225EA">
      <w:pPr>
        <w:pStyle w:val="FSBullet1"/>
        <w:numPr>
          <w:ilvl w:val="0"/>
          <w:numId w:val="0"/>
        </w:numPr>
        <w:ind w:left="567"/>
      </w:pPr>
    </w:p>
    <w:p w14:paraId="67FA3E2D" w14:textId="77777777" w:rsidR="00BD2155" w:rsidRDefault="00704375" w:rsidP="00146C7D">
      <w:pPr>
        <w:pStyle w:val="FSBullet1"/>
        <w:numPr>
          <w:ilvl w:val="0"/>
          <w:numId w:val="4"/>
        </w:numPr>
        <w:ind w:left="567" w:hanging="567"/>
      </w:pPr>
      <w:r w:rsidRPr="00B21422">
        <w:t>In general, the fatty acid composition of DHA-B is comparable to that of other micro-algal oils on the market. The DHA component is similar; the main difference between the products is the ratio of DHA to EPA. Any differences are nutritionally insignificant because the maximum amount of n-3 LC-PUFA that can be added to infant formula products is less than 14 mg/100 kJ.</w:t>
      </w:r>
    </w:p>
    <w:p w14:paraId="04A5E831" w14:textId="77777777" w:rsidR="00BD2155" w:rsidRDefault="00BD2155" w:rsidP="00BD2155">
      <w:pPr>
        <w:pStyle w:val="FSBullet1"/>
        <w:numPr>
          <w:ilvl w:val="0"/>
          <w:numId w:val="0"/>
        </w:numPr>
        <w:ind w:left="567"/>
      </w:pPr>
    </w:p>
    <w:p w14:paraId="3822FFF3" w14:textId="063043CE" w:rsidR="00146C7D" w:rsidRPr="00146C7D" w:rsidRDefault="00146C7D" w:rsidP="00146C7D">
      <w:pPr>
        <w:pStyle w:val="FSBullet1"/>
        <w:numPr>
          <w:ilvl w:val="0"/>
          <w:numId w:val="4"/>
        </w:numPr>
        <w:ind w:left="567" w:hanging="567"/>
      </w:pPr>
      <w:r w:rsidRPr="00C21F72">
        <w:t>The oil was found to be bioequivalent to other DHA rich oils in the diet of piglets and human infants.</w:t>
      </w:r>
    </w:p>
    <w:p w14:paraId="4D1B69B5" w14:textId="77777777" w:rsidR="00704375" w:rsidRPr="00B21422" w:rsidRDefault="00704375" w:rsidP="003225EA">
      <w:pPr>
        <w:widowControl/>
        <w:rPr>
          <w:szCs w:val="22"/>
        </w:rPr>
      </w:pPr>
    </w:p>
    <w:p w14:paraId="2FB32410" w14:textId="48A03052" w:rsidR="00704375" w:rsidRPr="00B21422" w:rsidRDefault="00704375" w:rsidP="003225EA">
      <w:pPr>
        <w:pStyle w:val="FSBullet1"/>
        <w:numPr>
          <w:ilvl w:val="0"/>
          <w:numId w:val="4"/>
        </w:numPr>
        <w:ind w:left="567" w:hanging="567"/>
        <w:rPr>
          <w:szCs w:val="22"/>
        </w:rPr>
      </w:pPr>
      <w:r w:rsidRPr="00B21422">
        <w:t>An analytical method (AOCS Ce 1b-89) is available for compliance of DHA oils against specifications contained within section S3—21 of the Code. The stability of DHA-B within a food matrix such as infant formula products is assured.</w:t>
      </w:r>
      <w:r w:rsidR="002134D7">
        <w:t xml:space="preserve"> </w:t>
      </w:r>
    </w:p>
    <w:p w14:paraId="65BCDABA" w14:textId="77777777" w:rsidR="002C1A3B" w:rsidRPr="00B21422" w:rsidRDefault="002C1A3B" w:rsidP="003225EA">
      <w:pPr>
        <w:pStyle w:val="Heading2"/>
        <w:widowControl/>
      </w:pPr>
      <w:bookmarkStart w:id="75" w:name="_Toc370223473"/>
      <w:bookmarkStart w:id="76" w:name="_Toc370225388"/>
      <w:bookmarkStart w:id="77" w:name="_Toc473297185"/>
      <w:bookmarkStart w:id="78" w:name="_Toc474759483"/>
      <w:bookmarkStart w:id="79" w:name="_Toc175381450"/>
      <w:bookmarkEnd w:id="73"/>
      <w:bookmarkEnd w:id="74"/>
      <w:r w:rsidRPr="00B21422">
        <w:t>2.3</w:t>
      </w:r>
      <w:r w:rsidRPr="00B21422">
        <w:tab/>
        <w:t>Risk management</w:t>
      </w:r>
      <w:bookmarkEnd w:id="75"/>
      <w:bookmarkEnd w:id="76"/>
      <w:bookmarkEnd w:id="77"/>
      <w:bookmarkEnd w:id="78"/>
    </w:p>
    <w:p w14:paraId="191FFBE5" w14:textId="3D2CD8E8" w:rsidR="00704375" w:rsidRPr="00B21422" w:rsidRDefault="00202414" w:rsidP="003225EA">
      <w:pPr>
        <w:widowControl/>
        <w:rPr>
          <w:rFonts w:cs="Arial"/>
          <w:szCs w:val="22"/>
        </w:rPr>
      </w:pPr>
      <w:bookmarkStart w:id="80" w:name="_Toc309291814"/>
      <w:bookmarkStart w:id="81" w:name="_Toc370225389"/>
      <w:bookmarkStart w:id="82" w:name="_Toc286391012"/>
      <w:bookmarkEnd w:id="79"/>
      <w:r>
        <w:rPr>
          <w:szCs w:val="22"/>
          <w:lang w:bidi="ar-SA"/>
        </w:rPr>
        <w:t xml:space="preserve">As </w:t>
      </w:r>
      <w:r w:rsidR="00704375" w:rsidRPr="00B21422">
        <w:rPr>
          <w:szCs w:val="22"/>
          <w:lang w:bidi="ar-SA"/>
        </w:rPr>
        <w:t>infants are a vulnerable population group, infant formula products are regulated by highly prescriptive provisions for the composition and labelling of these products.</w:t>
      </w:r>
      <w:r w:rsidR="00704375" w:rsidRPr="00B21422">
        <w:rPr>
          <w:rFonts w:cs="Arial"/>
          <w:szCs w:val="22"/>
        </w:rPr>
        <w:t xml:space="preserve"> Prior to being permitted for use in infant formula products, nutritive substances and novel foods need to be established as safe and demonstrate that they provide a nutriti</w:t>
      </w:r>
      <w:r w:rsidR="00626F8C">
        <w:rPr>
          <w:rFonts w:cs="Arial"/>
          <w:szCs w:val="22"/>
        </w:rPr>
        <w:t xml:space="preserve">onal </w:t>
      </w:r>
      <w:r w:rsidR="00704375" w:rsidRPr="00B21422">
        <w:rPr>
          <w:rFonts w:cs="Arial"/>
          <w:szCs w:val="22"/>
        </w:rPr>
        <w:t>or health benefit for formula-fed infants.</w:t>
      </w:r>
    </w:p>
    <w:p w14:paraId="7B0F505D" w14:textId="77777777" w:rsidR="00704375" w:rsidRPr="00B21422" w:rsidRDefault="00704375" w:rsidP="003225EA">
      <w:pPr>
        <w:widowControl/>
        <w:rPr>
          <w:rFonts w:cs="Arial"/>
          <w:szCs w:val="22"/>
        </w:rPr>
      </w:pPr>
      <w:r w:rsidRPr="00B21422">
        <w:rPr>
          <w:rFonts w:cs="Arial"/>
          <w:szCs w:val="22"/>
        </w:rPr>
        <w:t xml:space="preserve"> </w:t>
      </w:r>
    </w:p>
    <w:p w14:paraId="45B4221C" w14:textId="4B97C3EE" w:rsidR="00BD681B" w:rsidRDefault="00704375" w:rsidP="003225EA">
      <w:pPr>
        <w:widowControl/>
        <w:rPr>
          <w:szCs w:val="22"/>
        </w:rPr>
      </w:pPr>
      <w:r w:rsidRPr="004A43C5">
        <w:rPr>
          <w:szCs w:val="22"/>
        </w:rPr>
        <w:t>The risk and technical assessment (SD1) identifie</w:t>
      </w:r>
      <w:r w:rsidR="004008A1" w:rsidRPr="004A43C5">
        <w:rPr>
          <w:szCs w:val="22"/>
        </w:rPr>
        <w:t>d</w:t>
      </w:r>
      <w:r w:rsidRPr="004A43C5">
        <w:rPr>
          <w:szCs w:val="22"/>
        </w:rPr>
        <w:t xml:space="preserve"> no pub</w:t>
      </w:r>
      <w:r w:rsidR="00F04A93" w:rsidRPr="004A43C5">
        <w:rPr>
          <w:szCs w:val="22"/>
        </w:rPr>
        <w:t>lic health and safety concern if</w:t>
      </w:r>
      <w:r w:rsidRPr="004A43C5">
        <w:rPr>
          <w:szCs w:val="22"/>
        </w:rPr>
        <w:t xml:space="preserve"> DHA-B oil </w:t>
      </w:r>
      <w:r w:rsidR="00F04A93" w:rsidRPr="004A43C5">
        <w:rPr>
          <w:szCs w:val="22"/>
        </w:rPr>
        <w:t xml:space="preserve">is used </w:t>
      </w:r>
      <w:r w:rsidRPr="004A43C5">
        <w:rPr>
          <w:szCs w:val="22"/>
        </w:rPr>
        <w:t xml:space="preserve">as an </w:t>
      </w:r>
      <w:r w:rsidR="007247F3" w:rsidRPr="004A43C5">
        <w:rPr>
          <w:szCs w:val="22"/>
        </w:rPr>
        <w:t xml:space="preserve">additional or </w:t>
      </w:r>
      <w:r w:rsidRPr="004A43C5">
        <w:rPr>
          <w:szCs w:val="22"/>
        </w:rPr>
        <w:t>alternative source of DHA in infant formula products, noting the</w:t>
      </w:r>
      <w:r w:rsidR="00524FB2" w:rsidRPr="004A43C5">
        <w:rPr>
          <w:szCs w:val="22"/>
        </w:rPr>
        <w:t>re is a set</w:t>
      </w:r>
      <w:r w:rsidRPr="004A43C5">
        <w:rPr>
          <w:szCs w:val="22"/>
        </w:rPr>
        <w:t xml:space="preserve"> maximum level of n-3 LC-PUFA of 1% of total fatty acids in Standard 2.9.1. Therefore, permission for the use of oil derived from </w:t>
      </w:r>
      <w:r w:rsidRPr="004A43C5">
        <w:rPr>
          <w:i/>
          <w:szCs w:val="22"/>
        </w:rPr>
        <w:t>Schizochytrium</w:t>
      </w:r>
      <w:r w:rsidRPr="004A43C5">
        <w:rPr>
          <w:szCs w:val="22"/>
        </w:rPr>
        <w:t xml:space="preserve"> sp. (ATCC PTA-9695) as a novel food</w:t>
      </w:r>
      <w:r w:rsidR="00F04A93" w:rsidRPr="004A43C5">
        <w:rPr>
          <w:szCs w:val="22"/>
        </w:rPr>
        <w:t>,</w:t>
      </w:r>
      <w:r w:rsidRPr="004A43C5">
        <w:rPr>
          <w:szCs w:val="22"/>
        </w:rPr>
        <w:t xml:space="preserve"> in infant formula products only</w:t>
      </w:r>
      <w:r w:rsidR="00F04A93" w:rsidRPr="004A43C5">
        <w:rPr>
          <w:szCs w:val="22"/>
        </w:rPr>
        <w:t>,</w:t>
      </w:r>
      <w:r w:rsidRPr="004A43C5">
        <w:rPr>
          <w:szCs w:val="22"/>
        </w:rPr>
        <w:t xml:space="preserve"> </w:t>
      </w:r>
      <w:r w:rsidR="004008A1" w:rsidRPr="004A43C5">
        <w:rPr>
          <w:szCs w:val="22"/>
        </w:rPr>
        <w:t>is</w:t>
      </w:r>
      <w:r w:rsidR="00524FB2" w:rsidRPr="004A43C5">
        <w:rPr>
          <w:szCs w:val="22"/>
        </w:rPr>
        <w:t xml:space="preserve"> included </w:t>
      </w:r>
      <w:r w:rsidRPr="004A43C5">
        <w:rPr>
          <w:szCs w:val="22"/>
        </w:rPr>
        <w:t xml:space="preserve">in Schedule 25. </w:t>
      </w:r>
      <w:r w:rsidR="00BD681B">
        <w:rPr>
          <w:szCs w:val="22"/>
        </w:rPr>
        <w:br w:type="page"/>
      </w:r>
    </w:p>
    <w:p w14:paraId="64C4C1A3" w14:textId="2A8D6AA8" w:rsidR="005F73C9" w:rsidRPr="004A43C5" w:rsidRDefault="00757407" w:rsidP="003225EA">
      <w:pPr>
        <w:widowControl/>
        <w:rPr>
          <w:szCs w:val="22"/>
        </w:rPr>
      </w:pPr>
      <w:r w:rsidRPr="004A43C5">
        <w:rPr>
          <w:szCs w:val="22"/>
        </w:rPr>
        <w:lastRenderedPageBreak/>
        <w:t>Th</w:t>
      </w:r>
      <w:r w:rsidR="002D7D41" w:rsidRPr="004A43C5">
        <w:rPr>
          <w:szCs w:val="22"/>
        </w:rPr>
        <w:t>is</w:t>
      </w:r>
      <w:r w:rsidRPr="004A43C5">
        <w:rPr>
          <w:szCs w:val="22"/>
        </w:rPr>
        <w:t xml:space="preserve"> p</w:t>
      </w:r>
      <w:r w:rsidR="005F73C9" w:rsidRPr="004A43C5">
        <w:rPr>
          <w:szCs w:val="22"/>
        </w:rPr>
        <w:t>ermission ha</w:t>
      </w:r>
      <w:r w:rsidR="002D7D41" w:rsidRPr="004A43C5">
        <w:rPr>
          <w:szCs w:val="22"/>
        </w:rPr>
        <w:t>s</w:t>
      </w:r>
      <w:r w:rsidR="005F73C9" w:rsidRPr="004A43C5">
        <w:rPr>
          <w:szCs w:val="22"/>
        </w:rPr>
        <w:t xml:space="preserve"> not been extended to all other food categories as the risk assessment focussed specifically on infant formula products, as requested </w:t>
      </w:r>
      <w:r w:rsidR="002D7D41" w:rsidRPr="004A43C5">
        <w:rPr>
          <w:szCs w:val="22"/>
        </w:rPr>
        <w:t>by</w:t>
      </w:r>
      <w:r w:rsidR="005F73C9" w:rsidRPr="004A43C5">
        <w:rPr>
          <w:szCs w:val="22"/>
        </w:rPr>
        <w:t xml:space="preserve"> the Application. </w:t>
      </w:r>
    </w:p>
    <w:p w14:paraId="538D8F8D" w14:textId="77777777" w:rsidR="0083579F" w:rsidRPr="004A43C5" w:rsidRDefault="0083579F" w:rsidP="003225EA">
      <w:pPr>
        <w:widowControl/>
        <w:rPr>
          <w:szCs w:val="22"/>
        </w:rPr>
      </w:pPr>
    </w:p>
    <w:p w14:paraId="26663F50" w14:textId="6D31FFF5" w:rsidR="004A43C5" w:rsidRDefault="00346CDF" w:rsidP="003225EA">
      <w:pPr>
        <w:widowControl/>
        <w:rPr>
          <w:szCs w:val="22"/>
          <w:lang w:bidi="ar-SA"/>
        </w:rPr>
      </w:pPr>
      <w:r>
        <w:rPr>
          <w:szCs w:val="22"/>
          <w:lang w:bidi="ar-SA"/>
        </w:rPr>
        <w:t>Section</w:t>
      </w:r>
      <w:r w:rsidR="00F70324" w:rsidRPr="004A43C5">
        <w:rPr>
          <w:szCs w:val="22"/>
          <w:lang w:bidi="ar-SA"/>
        </w:rPr>
        <w:t xml:space="preserve"> </w:t>
      </w:r>
      <w:r w:rsidR="00704375" w:rsidRPr="004A43C5">
        <w:rPr>
          <w:szCs w:val="22"/>
          <w:lang w:bidi="ar-SA"/>
        </w:rPr>
        <w:t>1.1.1</w:t>
      </w:r>
      <w:r w:rsidR="00F70324">
        <w:rPr>
          <w:rFonts w:cs="Arial"/>
          <w:szCs w:val="22"/>
          <w:lang w:bidi="ar-SA"/>
        </w:rPr>
        <w:t>—</w:t>
      </w:r>
      <w:r w:rsidR="0055051B">
        <w:rPr>
          <w:szCs w:val="22"/>
          <w:lang w:bidi="ar-SA"/>
        </w:rPr>
        <w:t>1</w:t>
      </w:r>
      <w:r w:rsidR="00704375" w:rsidRPr="004A43C5">
        <w:rPr>
          <w:szCs w:val="22"/>
          <w:lang w:bidi="ar-SA"/>
        </w:rPr>
        <w:t xml:space="preserve">5 requires that </w:t>
      </w:r>
      <w:r w:rsidR="00383B45">
        <w:rPr>
          <w:szCs w:val="22"/>
          <w:lang w:bidi="ar-SA"/>
        </w:rPr>
        <w:t xml:space="preserve">when a novel food is added to food in accordance with the Code, or sold for use in food, the novel food must comply with any relevant specification set out in </w:t>
      </w:r>
      <w:r w:rsidR="00704375" w:rsidRPr="004A43C5">
        <w:rPr>
          <w:szCs w:val="22"/>
          <w:lang w:bidi="ar-SA"/>
        </w:rPr>
        <w:t>Schedule 3. Since no specifications exist in the primary sources listed in Schedule 3, a specification for oil derived from Schizochytrium sp. (ATCC PTA-9695) has been drafted</w:t>
      </w:r>
      <w:r w:rsidR="00524FB2" w:rsidRPr="004A43C5">
        <w:rPr>
          <w:szCs w:val="22"/>
          <w:lang w:bidi="ar-SA"/>
        </w:rPr>
        <w:t xml:space="preserve"> for inclusion</w:t>
      </w:r>
      <w:r w:rsidR="00704375" w:rsidRPr="004A43C5">
        <w:rPr>
          <w:szCs w:val="22"/>
          <w:lang w:bidi="ar-SA"/>
        </w:rPr>
        <w:t xml:space="preserve">. As discussed in the SD1, the fatty acid profile differs slightly from the generic specification already given for oil from </w:t>
      </w:r>
      <w:r w:rsidR="00704375" w:rsidRPr="0063219C">
        <w:rPr>
          <w:i/>
          <w:szCs w:val="22"/>
          <w:lang w:bidi="ar-SA"/>
        </w:rPr>
        <w:t>Schizochytrium</w:t>
      </w:r>
      <w:r w:rsidR="00704375" w:rsidRPr="004A43C5">
        <w:rPr>
          <w:szCs w:val="22"/>
          <w:lang w:bidi="ar-SA"/>
        </w:rPr>
        <w:t xml:space="preserve"> sp.</w:t>
      </w:r>
      <w:r w:rsidR="00704375" w:rsidRPr="00B21422">
        <w:rPr>
          <w:szCs w:val="22"/>
          <w:lang w:bidi="ar-SA"/>
        </w:rPr>
        <w:t xml:space="preserve"> </w:t>
      </w:r>
    </w:p>
    <w:p w14:paraId="557FDAA6" w14:textId="77777777" w:rsidR="00F70324" w:rsidRDefault="00F70324" w:rsidP="003225EA">
      <w:pPr>
        <w:widowControl/>
        <w:rPr>
          <w:szCs w:val="22"/>
          <w:lang w:bidi="ar-SA"/>
        </w:rPr>
      </w:pPr>
    </w:p>
    <w:p w14:paraId="50CD5678" w14:textId="3B97AA8B" w:rsidR="00704375" w:rsidRPr="00B21422" w:rsidRDefault="00704375" w:rsidP="003225EA">
      <w:pPr>
        <w:widowControl/>
        <w:rPr>
          <w:szCs w:val="22"/>
          <w:lang w:bidi="ar-SA"/>
        </w:rPr>
      </w:pPr>
      <w:r w:rsidRPr="00B21422">
        <w:rPr>
          <w:szCs w:val="22"/>
          <w:lang w:bidi="ar-SA"/>
        </w:rPr>
        <w:t>In addition to limiting the DHA and trans fatty acid content, the specification includes a maximum for EPA as both DHA and EPA are regulated by Standard 2.9.1.</w:t>
      </w:r>
    </w:p>
    <w:p w14:paraId="707B27E3" w14:textId="7210F380" w:rsidR="002C1A3B" w:rsidRPr="00B21422" w:rsidRDefault="002C1A3B" w:rsidP="003225EA">
      <w:pPr>
        <w:pStyle w:val="Heading2"/>
        <w:widowControl/>
      </w:pPr>
      <w:bookmarkStart w:id="83" w:name="_Toc473297186"/>
      <w:bookmarkStart w:id="84" w:name="_Toc474759484"/>
      <w:r w:rsidRPr="00B21422">
        <w:t>2.4</w:t>
      </w:r>
      <w:r w:rsidRPr="00B21422">
        <w:tab/>
        <w:t>Risk communication</w:t>
      </w:r>
      <w:bookmarkEnd w:id="80"/>
      <w:bookmarkEnd w:id="81"/>
      <w:bookmarkEnd w:id="83"/>
      <w:bookmarkEnd w:id="84"/>
      <w:r w:rsidRPr="00B21422">
        <w:t xml:space="preserve"> </w:t>
      </w:r>
      <w:r w:rsidR="00521984" w:rsidRPr="00B21422">
        <w:t xml:space="preserve"> </w:t>
      </w:r>
    </w:p>
    <w:p w14:paraId="3FB617B1" w14:textId="77777777" w:rsidR="0072677F" w:rsidRPr="00B21422" w:rsidRDefault="0072677F" w:rsidP="003225EA">
      <w:pPr>
        <w:pStyle w:val="Heading3"/>
        <w:widowControl/>
      </w:pPr>
      <w:bookmarkStart w:id="85" w:name="_Toc462919334"/>
      <w:bookmarkStart w:id="86" w:name="_Toc473297187"/>
      <w:bookmarkStart w:id="87" w:name="_Toc474759485"/>
      <w:bookmarkStart w:id="88" w:name="_Toc300933437"/>
      <w:bookmarkStart w:id="89" w:name="_Toc370223475"/>
      <w:bookmarkStart w:id="90" w:name="_Toc370225390"/>
      <w:r w:rsidRPr="00B21422">
        <w:t>2.4.1</w:t>
      </w:r>
      <w:r w:rsidRPr="00B21422">
        <w:tab/>
        <w:t>Consultation</w:t>
      </w:r>
      <w:bookmarkEnd w:id="85"/>
      <w:bookmarkEnd w:id="86"/>
      <w:bookmarkEnd w:id="87"/>
    </w:p>
    <w:p w14:paraId="47B7AE41" w14:textId="6D441E35" w:rsidR="0072677F" w:rsidRPr="00B21422" w:rsidRDefault="0072677F" w:rsidP="003225EA">
      <w:pPr>
        <w:widowControl/>
        <w:rPr>
          <w:szCs w:val="22"/>
        </w:rPr>
      </w:pPr>
      <w:r w:rsidRPr="00B21422">
        <w:rPr>
          <w:szCs w:val="22"/>
        </w:rPr>
        <w:t xml:space="preserve">Consultation is a key part of FSANZ’s standards development process. </w:t>
      </w:r>
      <w:r w:rsidR="00D711E3" w:rsidRPr="00B21422">
        <w:t>The process is open, accountable, consultative and transparent.</w:t>
      </w:r>
    </w:p>
    <w:p w14:paraId="6CA4BBFE" w14:textId="77777777" w:rsidR="0072677F" w:rsidRPr="00B21422" w:rsidRDefault="0072677F" w:rsidP="003225EA">
      <w:pPr>
        <w:widowControl/>
      </w:pPr>
    </w:p>
    <w:p w14:paraId="06CCEAF3" w14:textId="14C47ECD" w:rsidR="0072677F" w:rsidRPr="00B21422" w:rsidRDefault="0072677F" w:rsidP="003225EA">
      <w:pPr>
        <w:widowControl/>
      </w:pPr>
      <w:r w:rsidRPr="00B21422">
        <w:t xml:space="preserve">FSANZ applied a basic communication strategy to this Application. </w:t>
      </w:r>
      <w:r w:rsidR="00D711E3" w:rsidRPr="00B21422">
        <w:t xml:space="preserve">Public submissions were called for to obtain the views of interested parties on issues raised by the Application and the impacts of regulatory options. </w:t>
      </w:r>
      <w:r w:rsidR="004008A1">
        <w:t>The</w:t>
      </w:r>
      <w:r w:rsidRPr="00B21422">
        <w:t xml:space="preserve"> call for submissions </w:t>
      </w:r>
      <w:r w:rsidR="004008A1">
        <w:t>was</w:t>
      </w:r>
      <w:r w:rsidRPr="00B21422">
        <w:t xml:space="preserve"> notified via the FSANZ Notification Circular, media release, FSANZ’s social media tools and Food Standards News. </w:t>
      </w:r>
    </w:p>
    <w:p w14:paraId="7E5E2080" w14:textId="77777777" w:rsidR="0072677F" w:rsidRPr="00B21422" w:rsidRDefault="0072677F" w:rsidP="003225EA">
      <w:pPr>
        <w:widowControl/>
      </w:pPr>
    </w:p>
    <w:p w14:paraId="2FE0C479" w14:textId="3B590D91" w:rsidR="0072677F" w:rsidRDefault="00D711E3" w:rsidP="003225EA">
      <w:pPr>
        <w:widowControl/>
      </w:pPr>
      <w:r w:rsidRPr="00B21422">
        <w:rPr>
          <w:szCs w:val="22"/>
        </w:rPr>
        <w:t>All submissions have been</w:t>
      </w:r>
      <w:r w:rsidR="0072677F" w:rsidRPr="00B21422">
        <w:rPr>
          <w:szCs w:val="22"/>
        </w:rPr>
        <w:t xml:space="preserve"> considered </w:t>
      </w:r>
      <w:r w:rsidRPr="00B21422">
        <w:rPr>
          <w:szCs w:val="22"/>
        </w:rPr>
        <w:t xml:space="preserve">by </w:t>
      </w:r>
      <w:r w:rsidR="0072677F" w:rsidRPr="00B21422">
        <w:rPr>
          <w:szCs w:val="22"/>
        </w:rPr>
        <w:t>the FSANZ Board</w:t>
      </w:r>
      <w:r w:rsidR="00031204">
        <w:rPr>
          <w:szCs w:val="22"/>
        </w:rPr>
        <w:t xml:space="preserve"> and </w:t>
      </w:r>
      <w:r w:rsidR="00031204" w:rsidRPr="00B21422">
        <w:rPr>
          <w:szCs w:val="22"/>
        </w:rPr>
        <w:t>contribute</w:t>
      </w:r>
      <w:r w:rsidR="00031204">
        <w:rPr>
          <w:szCs w:val="22"/>
        </w:rPr>
        <w:t>d</w:t>
      </w:r>
      <w:r w:rsidR="00031204" w:rsidRPr="00B21422">
        <w:rPr>
          <w:szCs w:val="22"/>
        </w:rPr>
        <w:t xml:space="preserve"> to the rigour of our assessment </w:t>
      </w:r>
      <w:r w:rsidR="0072677F" w:rsidRPr="00B21422">
        <w:t>The Applicant, individuals and organisations that ma</w:t>
      </w:r>
      <w:r w:rsidRPr="00B21422">
        <w:t>de</w:t>
      </w:r>
      <w:r w:rsidR="0072677F" w:rsidRPr="00B21422">
        <w:t xml:space="preserve"> submissions on this Application </w:t>
      </w:r>
      <w:r w:rsidRPr="00B21422">
        <w:t xml:space="preserve">were </w:t>
      </w:r>
      <w:r w:rsidR="0072677F" w:rsidRPr="00B21422">
        <w:t>notified at each stage of the assessment</w:t>
      </w:r>
      <w:r w:rsidR="0024702A" w:rsidRPr="00B21422">
        <w:t>. S</w:t>
      </w:r>
      <w:r w:rsidR="0072677F" w:rsidRPr="00B21422">
        <w:t xml:space="preserve">ubscribers and interested parties </w:t>
      </w:r>
      <w:r w:rsidR="0024702A" w:rsidRPr="00B21422">
        <w:t>were</w:t>
      </w:r>
      <w:r w:rsidR="0072677F" w:rsidRPr="00B21422">
        <w:t xml:space="preserve"> also notified via email about the availability of reports for public comment. </w:t>
      </w:r>
    </w:p>
    <w:p w14:paraId="4E5A6977" w14:textId="465FDC1B" w:rsidR="002C1A3B" w:rsidRPr="00B21422" w:rsidRDefault="002C1A3B" w:rsidP="0063219C">
      <w:pPr>
        <w:pStyle w:val="Heading2"/>
        <w:widowControl/>
        <w:ind w:left="0" w:firstLine="0"/>
      </w:pPr>
      <w:bookmarkStart w:id="91" w:name="_Toc370223477"/>
      <w:bookmarkStart w:id="92" w:name="_Toc370225392"/>
      <w:bookmarkStart w:id="93" w:name="_Toc473297189"/>
      <w:bookmarkStart w:id="94" w:name="_Toc474759486"/>
      <w:bookmarkStart w:id="95" w:name="_Toc309291816"/>
      <w:bookmarkStart w:id="96" w:name="_Toc300933448"/>
      <w:bookmarkStart w:id="97" w:name="_Toc300933577"/>
      <w:bookmarkStart w:id="98" w:name="_Toc301535601"/>
      <w:bookmarkStart w:id="99" w:name="_Toc309385464"/>
      <w:bookmarkStart w:id="100" w:name="_Toc175381456"/>
      <w:bookmarkEnd w:id="52"/>
      <w:bookmarkEnd w:id="53"/>
      <w:bookmarkEnd w:id="54"/>
      <w:bookmarkEnd w:id="55"/>
      <w:bookmarkEnd w:id="56"/>
      <w:bookmarkEnd w:id="57"/>
      <w:bookmarkEnd w:id="82"/>
      <w:bookmarkEnd w:id="88"/>
      <w:bookmarkEnd w:id="89"/>
      <w:bookmarkEnd w:id="90"/>
      <w:r w:rsidRPr="00B21422">
        <w:t>2.5</w:t>
      </w:r>
      <w:r w:rsidRPr="00B21422">
        <w:tab/>
        <w:t>FSANZ Act assessment requirements</w:t>
      </w:r>
      <w:bookmarkEnd w:id="91"/>
      <w:bookmarkEnd w:id="92"/>
      <w:bookmarkEnd w:id="93"/>
      <w:bookmarkEnd w:id="94"/>
    </w:p>
    <w:p w14:paraId="7D8CD1AB" w14:textId="51244DD9" w:rsidR="002C1A3B" w:rsidRPr="00B21422" w:rsidRDefault="002C1A3B" w:rsidP="003225EA">
      <w:pPr>
        <w:pStyle w:val="Heading3"/>
        <w:widowControl/>
      </w:pPr>
      <w:bookmarkStart w:id="101" w:name="_Toc370223478"/>
      <w:bookmarkStart w:id="102" w:name="_Toc370225393"/>
      <w:bookmarkStart w:id="103" w:name="_Toc473297190"/>
      <w:bookmarkStart w:id="104" w:name="_Toc474759487"/>
      <w:bookmarkEnd w:id="95"/>
      <w:bookmarkEnd w:id="96"/>
      <w:bookmarkEnd w:id="97"/>
      <w:bookmarkEnd w:id="98"/>
      <w:bookmarkEnd w:id="99"/>
      <w:r w:rsidRPr="00B21422">
        <w:t>2.5.1</w:t>
      </w:r>
      <w:r w:rsidRPr="00B21422">
        <w:tab/>
        <w:t>Section 29</w:t>
      </w:r>
      <w:bookmarkEnd w:id="101"/>
      <w:bookmarkEnd w:id="102"/>
      <w:bookmarkEnd w:id="103"/>
      <w:bookmarkEnd w:id="104"/>
    </w:p>
    <w:p w14:paraId="1E548C5A" w14:textId="77777777" w:rsidR="002C1A3B" w:rsidRPr="00B21422" w:rsidRDefault="002C1A3B" w:rsidP="003225EA">
      <w:pPr>
        <w:pStyle w:val="Heading4"/>
        <w:widowControl/>
      </w:pPr>
      <w:r w:rsidRPr="00B21422">
        <w:t>2.5.1.1</w:t>
      </w:r>
      <w:r w:rsidRPr="00B21422">
        <w:tab/>
      </w:r>
      <w:r w:rsidR="00BF45A3" w:rsidRPr="00B21422">
        <w:t>Consideration of costs and</w:t>
      </w:r>
      <w:r w:rsidRPr="00B21422">
        <w:t xml:space="preserve"> benefit</w:t>
      </w:r>
      <w:r w:rsidR="00BF45A3" w:rsidRPr="00B21422">
        <w:t>s</w:t>
      </w:r>
    </w:p>
    <w:p w14:paraId="53FE1AC6" w14:textId="5BE242BF" w:rsidR="000A56D8" w:rsidRDefault="000A56D8" w:rsidP="000A56D8">
      <w:pPr>
        <w:rPr>
          <w:rFonts w:eastAsiaTheme="minorHAnsi"/>
        </w:rPr>
      </w:pPr>
      <w:r>
        <w:t xml:space="preserve">A regulation impact statement was not required as the Application sought permission for the voluntary addition of an additional or alternative source of DHA-rich algal oil. FSANZ has a standing exemption from the OBPR from undertaking a RIS (Reference No. 14943) for amendments </w:t>
      </w:r>
      <w:r>
        <w:rPr>
          <w:lang w:val="en-AU"/>
        </w:rPr>
        <w:t xml:space="preserve">that permit voluntary addition of a nutritive substance to foods </w:t>
      </w:r>
      <w:r>
        <w:t xml:space="preserve">(which, </w:t>
      </w:r>
      <w:r w:rsidRPr="0063219C">
        <w:t xml:space="preserve">in this </w:t>
      </w:r>
      <w:r w:rsidRPr="000A56D8">
        <w:rPr>
          <w:color w:val="000000" w:themeColor="text1"/>
        </w:rPr>
        <w:t xml:space="preserve">case, has been more appropriately listed as a novel substance, </w:t>
      </w:r>
      <w:r w:rsidRPr="000A56D8">
        <w:rPr>
          <w:rFonts w:cs="Arial"/>
          <w:color w:val="000000" w:themeColor="text1"/>
          <w:szCs w:val="22"/>
        </w:rPr>
        <w:t>for consistency with other DHA oils permitted in the Code</w:t>
      </w:r>
      <w:r w:rsidRPr="000A56D8">
        <w:rPr>
          <w:color w:val="000000" w:themeColor="text1"/>
        </w:rPr>
        <w:t xml:space="preserve">). </w:t>
      </w:r>
    </w:p>
    <w:p w14:paraId="5AADADD2" w14:textId="77777777" w:rsidR="000A56D8" w:rsidRPr="00F91180" w:rsidRDefault="000A56D8" w:rsidP="003225EA">
      <w:pPr>
        <w:widowControl/>
      </w:pPr>
    </w:p>
    <w:p w14:paraId="2C991C82" w14:textId="122781FD" w:rsidR="002C1A3B" w:rsidRPr="00B21422" w:rsidRDefault="0024702A" w:rsidP="003225EA">
      <w:pPr>
        <w:widowControl/>
      </w:pPr>
      <w:r w:rsidRPr="00B21422">
        <w:rPr>
          <w:szCs w:val="22"/>
        </w:rPr>
        <w:t xml:space="preserve">Affected parties include infant formula companies (industry) and government enforcement agencies. </w:t>
      </w:r>
      <w:r w:rsidR="0099623A" w:rsidRPr="00B21422">
        <w:t>The direct and indirect benefits that would aris</w:t>
      </w:r>
      <w:r w:rsidRPr="00B21422">
        <w:t>e from varying the</w:t>
      </w:r>
      <w:r w:rsidR="0099623A" w:rsidRPr="00B21422">
        <w:t xml:space="preserve"> food regulat</w:t>
      </w:r>
      <w:r w:rsidRPr="00B21422">
        <w:t>ion</w:t>
      </w:r>
      <w:r w:rsidR="0099623A" w:rsidRPr="00B21422">
        <w:t xml:space="preserve"> as a result of th</w:t>
      </w:r>
      <w:r w:rsidRPr="00B21422">
        <w:t>is A</w:t>
      </w:r>
      <w:r w:rsidR="0099623A" w:rsidRPr="00B21422">
        <w:t>pplication</w:t>
      </w:r>
      <w:r w:rsidR="00E34D84" w:rsidRPr="00B21422">
        <w:t xml:space="preserve"> </w:t>
      </w:r>
      <w:r w:rsidR="0099623A" w:rsidRPr="00B21422">
        <w:t xml:space="preserve">outweigh </w:t>
      </w:r>
      <w:r w:rsidRPr="00B21422">
        <w:t xml:space="preserve">any </w:t>
      </w:r>
      <w:r w:rsidR="0099623A" w:rsidRPr="00B21422">
        <w:t>costs</w:t>
      </w:r>
      <w:r w:rsidR="0013596F">
        <w:t xml:space="preserve"> </w:t>
      </w:r>
      <w:r w:rsidR="0099623A" w:rsidRPr="00B21422">
        <w:t xml:space="preserve">to the </w:t>
      </w:r>
      <w:r w:rsidRPr="00B21422">
        <w:t xml:space="preserve">Government, industry or </w:t>
      </w:r>
      <w:r w:rsidR="0099623A" w:rsidRPr="00B21422">
        <w:t>community</w:t>
      </w:r>
      <w:r w:rsidRPr="00B21422">
        <w:t>.</w:t>
      </w:r>
      <w:r w:rsidR="0099623A" w:rsidRPr="00B21422">
        <w:t xml:space="preserve"> </w:t>
      </w:r>
    </w:p>
    <w:p w14:paraId="08E76978" w14:textId="77777777" w:rsidR="0099623A" w:rsidRPr="00B21422" w:rsidRDefault="0099623A" w:rsidP="003225EA">
      <w:pPr>
        <w:widowControl/>
      </w:pPr>
    </w:p>
    <w:p w14:paraId="026DC98E" w14:textId="3D7F83AE" w:rsidR="00E34D84" w:rsidRPr="00B21422" w:rsidRDefault="0024702A" w:rsidP="003225EA">
      <w:pPr>
        <w:widowControl/>
      </w:pPr>
      <w:r w:rsidRPr="00B21422">
        <w:t>P</w:t>
      </w:r>
      <w:r w:rsidR="00E34D84" w:rsidRPr="00B21422">
        <w:t xml:space="preserve">ermitting this new oil derived from </w:t>
      </w:r>
      <w:r w:rsidR="00E34D84" w:rsidRPr="00B21422">
        <w:rPr>
          <w:i/>
        </w:rPr>
        <w:t>Schizochytrium</w:t>
      </w:r>
      <w:r w:rsidR="00E34D84" w:rsidRPr="00B21422">
        <w:t xml:space="preserve"> sp. (ATCC PTA-9695) will provide an </w:t>
      </w:r>
      <w:r w:rsidR="002D7D41" w:rsidRPr="00B21422">
        <w:t xml:space="preserve">additional </w:t>
      </w:r>
      <w:r w:rsidR="002D7D41">
        <w:t xml:space="preserve">or </w:t>
      </w:r>
      <w:r w:rsidR="00E34D84" w:rsidRPr="00B21422">
        <w:t>alternative source of DHA</w:t>
      </w:r>
      <w:r w:rsidR="007247F3">
        <w:t xml:space="preserve"> oil</w:t>
      </w:r>
      <w:r w:rsidR="00E34D84" w:rsidRPr="00B21422">
        <w:t xml:space="preserve"> in infant formula products. Because the organism used to manufacture DHA-B is more productive when compared to </w:t>
      </w:r>
      <w:r w:rsidR="002D7D41">
        <w:t xml:space="preserve">the </w:t>
      </w:r>
      <w:r w:rsidR="0083579F">
        <w:t xml:space="preserve">production of </w:t>
      </w:r>
      <w:r w:rsidR="00E34D84" w:rsidRPr="00B21422">
        <w:t xml:space="preserve">other DHA-rich algal oils, the new oil provides a lower cost source of DHA to infant formula manufacturers </w:t>
      </w:r>
      <w:r w:rsidR="0083579F">
        <w:t xml:space="preserve">who use </w:t>
      </w:r>
      <w:r w:rsidR="00E34D84" w:rsidRPr="00B21422">
        <w:t>DHA-rich algal oil as an ingredient.</w:t>
      </w:r>
    </w:p>
    <w:p w14:paraId="48DA1079" w14:textId="77777777" w:rsidR="00E34D84" w:rsidRPr="00B21422" w:rsidRDefault="00E34D84" w:rsidP="003225EA">
      <w:pPr>
        <w:widowControl/>
      </w:pPr>
    </w:p>
    <w:p w14:paraId="07B1BB1E" w14:textId="77777777" w:rsidR="00BD681B" w:rsidRDefault="00BD681B" w:rsidP="00BD681B">
      <w:r>
        <w:br w:type="page"/>
      </w:r>
    </w:p>
    <w:p w14:paraId="44855B9C" w14:textId="1CE7E7BB" w:rsidR="00E34D84" w:rsidRPr="00B21422" w:rsidRDefault="00E34D84" w:rsidP="00BD681B">
      <w:r w:rsidRPr="00B21422">
        <w:lastRenderedPageBreak/>
        <w:t xml:space="preserve">In addition, there is likely to be a positive impact on trade as closer alignment with international regulations may allow for a single formulation and manufacturing of infant formula products for both local and overseas markets thereby potentially </w:t>
      </w:r>
      <w:r w:rsidR="0083579F">
        <w:t>reducing</w:t>
      </w:r>
      <w:r w:rsidR="00620898" w:rsidRPr="00B21422">
        <w:t xml:space="preserve"> costs.</w:t>
      </w:r>
    </w:p>
    <w:p w14:paraId="2DED24AA" w14:textId="77777777" w:rsidR="002C1A3B" w:rsidRPr="002C1A3B" w:rsidRDefault="002C1A3B" w:rsidP="003225EA">
      <w:pPr>
        <w:pStyle w:val="Heading4"/>
        <w:widowControl/>
      </w:pPr>
      <w:r w:rsidRPr="002C1A3B">
        <w:t>2.5.1.2</w:t>
      </w:r>
      <w:r w:rsidRPr="002C1A3B">
        <w:tab/>
        <w:t>Other measures</w:t>
      </w:r>
    </w:p>
    <w:p w14:paraId="7DA4590F" w14:textId="5A753D0A" w:rsidR="002C1A3B" w:rsidRPr="00B21422" w:rsidRDefault="002C1A3B" w:rsidP="003225EA">
      <w:pPr>
        <w:widowControl/>
      </w:pPr>
      <w:r w:rsidRPr="00B21422">
        <w:t>There are no other measures (whether available to FSANZ or not) that would be more cost-effective than a food regulatory measure developed or varied as a result of the Application.</w:t>
      </w:r>
    </w:p>
    <w:p w14:paraId="24F98358" w14:textId="77777777" w:rsidR="002C1A3B" w:rsidRPr="00B21422" w:rsidRDefault="002C1A3B" w:rsidP="003225EA">
      <w:pPr>
        <w:pStyle w:val="Heading4"/>
        <w:widowControl/>
      </w:pPr>
      <w:r w:rsidRPr="00B21422">
        <w:t>2.5.1.3</w:t>
      </w:r>
      <w:r w:rsidRPr="00B21422">
        <w:tab/>
        <w:t>Any relevant New Zealand standards</w:t>
      </w:r>
    </w:p>
    <w:p w14:paraId="0DE7C22D" w14:textId="1977B7D9" w:rsidR="00E34D84" w:rsidRPr="00B21422" w:rsidRDefault="00E34D84" w:rsidP="003225EA">
      <w:pPr>
        <w:pStyle w:val="FSBullet"/>
        <w:widowControl/>
        <w:ind w:left="0" w:right="-428" w:firstLine="0"/>
      </w:pPr>
      <w:r w:rsidRPr="00B21422">
        <w:t>The</w:t>
      </w:r>
      <w:r w:rsidR="00FB68AF" w:rsidRPr="00B21422">
        <w:t xml:space="preserve"> relevant </w:t>
      </w:r>
      <w:r w:rsidRPr="00B21422">
        <w:t>standards</w:t>
      </w:r>
      <w:r w:rsidRPr="00B21422">
        <w:rPr>
          <w:szCs w:val="22"/>
        </w:rPr>
        <w:t xml:space="preserve"> </w:t>
      </w:r>
      <w:r w:rsidR="00FB68AF" w:rsidRPr="00B21422">
        <w:rPr>
          <w:szCs w:val="22"/>
        </w:rPr>
        <w:t xml:space="preserve">in the Code </w:t>
      </w:r>
      <w:r w:rsidRPr="00B21422">
        <w:rPr>
          <w:szCs w:val="22"/>
        </w:rPr>
        <w:t xml:space="preserve">apply in </w:t>
      </w:r>
      <w:r w:rsidR="007D3445">
        <w:rPr>
          <w:szCs w:val="22"/>
        </w:rPr>
        <w:t xml:space="preserve">both Australia and </w:t>
      </w:r>
      <w:r w:rsidRPr="00B21422">
        <w:rPr>
          <w:szCs w:val="22"/>
        </w:rPr>
        <w:t>New Zealand</w:t>
      </w:r>
      <w:r w:rsidR="002160CB">
        <w:rPr>
          <w:szCs w:val="22"/>
        </w:rPr>
        <w:t>;</w:t>
      </w:r>
      <w:r w:rsidRPr="00B21422">
        <w:rPr>
          <w:szCs w:val="22"/>
        </w:rPr>
        <w:t xml:space="preserve"> and there are no rel</w:t>
      </w:r>
      <w:r w:rsidR="00FB68AF" w:rsidRPr="00B21422">
        <w:rPr>
          <w:szCs w:val="22"/>
        </w:rPr>
        <w:t>ated</w:t>
      </w:r>
      <w:r w:rsidRPr="00B21422">
        <w:rPr>
          <w:szCs w:val="22"/>
        </w:rPr>
        <w:t xml:space="preserve"> New Zealand only Standards. </w:t>
      </w:r>
    </w:p>
    <w:p w14:paraId="4A990240" w14:textId="77777777" w:rsidR="002C1A3B" w:rsidRPr="00B21422" w:rsidRDefault="002C1A3B" w:rsidP="003225EA">
      <w:pPr>
        <w:pStyle w:val="Heading4"/>
        <w:widowControl/>
      </w:pPr>
      <w:r w:rsidRPr="00B21422">
        <w:t>2.5.1.4</w:t>
      </w:r>
      <w:r w:rsidRPr="00B21422">
        <w:tab/>
        <w:t>Any other relevant matters</w:t>
      </w:r>
    </w:p>
    <w:p w14:paraId="7DD0D838" w14:textId="77777777" w:rsidR="001F7F63" w:rsidRPr="00B21422" w:rsidRDefault="001F7F63" w:rsidP="003225EA">
      <w:pPr>
        <w:widowControl/>
        <w:rPr>
          <w:lang w:bidi="ar-SA"/>
        </w:rPr>
      </w:pPr>
      <w:bookmarkStart w:id="105" w:name="_Toc370223479"/>
      <w:bookmarkStart w:id="106" w:name="_Toc370225394"/>
      <w:bookmarkStart w:id="107" w:name="_Toc300761897"/>
      <w:bookmarkStart w:id="108" w:name="_Toc300933440"/>
      <w:r w:rsidRPr="00B21422">
        <w:t>Other relevant matters are considered below</w:t>
      </w:r>
      <w:r w:rsidRPr="00B21422">
        <w:rPr>
          <w:lang w:bidi="ar-SA"/>
        </w:rPr>
        <w:t>.</w:t>
      </w:r>
      <w:r w:rsidRPr="00B21422">
        <w:t xml:space="preserve"> </w:t>
      </w:r>
    </w:p>
    <w:p w14:paraId="5003D8E0" w14:textId="77777777" w:rsidR="002C1A3B" w:rsidRPr="00B21422" w:rsidRDefault="002C1A3B" w:rsidP="003225EA">
      <w:pPr>
        <w:pStyle w:val="Heading3"/>
        <w:widowControl/>
      </w:pPr>
      <w:bookmarkStart w:id="109" w:name="_Toc473297191"/>
      <w:bookmarkStart w:id="110" w:name="_Toc474759488"/>
      <w:r w:rsidRPr="00B21422">
        <w:t>2.5.2.</w:t>
      </w:r>
      <w:r w:rsidRPr="00B21422">
        <w:tab/>
        <w:t>Subsection 18(1)</w:t>
      </w:r>
      <w:bookmarkEnd w:id="105"/>
      <w:bookmarkEnd w:id="106"/>
      <w:bookmarkEnd w:id="109"/>
      <w:bookmarkEnd w:id="110"/>
      <w:r w:rsidRPr="00B21422">
        <w:t xml:space="preserve"> </w:t>
      </w:r>
      <w:bookmarkEnd w:id="107"/>
      <w:bookmarkEnd w:id="108"/>
    </w:p>
    <w:p w14:paraId="3EA3DEDE" w14:textId="77777777" w:rsidR="002C1A3B" w:rsidRPr="00B21422" w:rsidRDefault="002C1A3B" w:rsidP="003225EA">
      <w:pPr>
        <w:widowControl/>
      </w:pPr>
      <w:r w:rsidRPr="00B21422">
        <w:rPr>
          <w:rFonts w:cs="Arial"/>
        </w:rPr>
        <w:t xml:space="preserve">FSANZ has also </w:t>
      </w:r>
      <w:r w:rsidRPr="00B21422">
        <w:t>considered the three objectives in subsection 18(1) of the FSANZ Act during the assessment.</w:t>
      </w:r>
    </w:p>
    <w:p w14:paraId="2FA9CE28" w14:textId="77777777" w:rsidR="002C1A3B" w:rsidRPr="00B21422" w:rsidRDefault="002C1A3B" w:rsidP="003225EA">
      <w:pPr>
        <w:pStyle w:val="Heading4"/>
        <w:widowControl/>
        <w:rPr>
          <w:lang w:eastAsia="en-AU"/>
        </w:rPr>
      </w:pPr>
      <w:bookmarkStart w:id="111" w:name="_Toc297029117"/>
      <w:bookmarkStart w:id="112" w:name="_Toc300761898"/>
      <w:bookmarkStart w:id="113" w:name="_Toc300933441"/>
      <w:r w:rsidRPr="00B21422">
        <w:rPr>
          <w:lang w:eastAsia="en-AU"/>
        </w:rPr>
        <w:t>2.5.2.1</w:t>
      </w:r>
      <w:r w:rsidRPr="00B21422">
        <w:rPr>
          <w:lang w:eastAsia="en-AU"/>
        </w:rPr>
        <w:tab/>
        <w:t>Protection of public health and safety</w:t>
      </w:r>
      <w:bookmarkEnd w:id="111"/>
      <w:bookmarkEnd w:id="112"/>
      <w:bookmarkEnd w:id="113"/>
    </w:p>
    <w:p w14:paraId="257A9211" w14:textId="469B551D" w:rsidR="00E34D84" w:rsidRPr="00B21422" w:rsidRDefault="00E34D84" w:rsidP="003225EA">
      <w:pPr>
        <w:widowControl/>
      </w:pPr>
      <w:bookmarkStart w:id="114" w:name="_Toc300761899"/>
      <w:bookmarkStart w:id="115" w:name="_Toc300933442"/>
      <w:r w:rsidRPr="00B21422">
        <w:rPr>
          <w:rFonts w:cs="Arial"/>
          <w:szCs w:val="22"/>
        </w:rPr>
        <w:t xml:space="preserve">FSANZ has undertaken a </w:t>
      </w:r>
      <w:r w:rsidR="003C60AC">
        <w:rPr>
          <w:rFonts w:cs="Arial"/>
          <w:szCs w:val="22"/>
        </w:rPr>
        <w:t>r</w:t>
      </w:r>
      <w:r w:rsidRPr="00B21422">
        <w:rPr>
          <w:rFonts w:cs="Arial"/>
          <w:szCs w:val="22"/>
        </w:rPr>
        <w:t xml:space="preserve">isk and </w:t>
      </w:r>
      <w:r w:rsidR="003C60AC">
        <w:rPr>
          <w:rFonts w:cs="Arial"/>
          <w:szCs w:val="22"/>
        </w:rPr>
        <w:t>t</w:t>
      </w:r>
      <w:r w:rsidRPr="00B21422">
        <w:rPr>
          <w:rFonts w:cs="Arial"/>
          <w:szCs w:val="22"/>
        </w:rPr>
        <w:t xml:space="preserve">echnical </w:t>
      </w:r>
      <w:r w:rsidR="003C60AC">
        <w:rPr>
          <w:rFonts w:cs="Arial"/>
          <w:szCs w:val="22"/>
        </w:rPr>
        <w:t>a</w:t>
      </w:r>
      <w:r w:rsidRPr="00B21422">
        <w:rPr>
          <w:rFonts w:cs="Arial"/>
          <w:szCs w:val="22"/>
        </w:rPr>
        <w:t>ssessment (SD1) which considered the best available evidence. Based on this assessment, FSANZ</w:t>
      </w:r>
      <w:r w:rsidR="00FB68AF" w:rsidRPr="00B21422">
        <w:rPr>
          <w:rFonts w:cs="Arial"/>
          <w:szCs w:val="22"/>
        </w:rPr>
        <w:t xml:space="preserve"> </w:t>
      </w:r>
      <w:r w:rsidRPr="00B21422">
        <w:rPr>
          <w:rFonts w:cs="Arial"/>
          <w:szCs w:val="22"/>
        </w:rPr>
        <w:t xml:space="preserve">concluded that </w:t>
      </w:r>
      <w:r w:rsidRPr="00B21422">
        <w:t xml:space="preserve">oil derived from </w:t>
      </w:r>
      <w:r w:rsidRPr="00B21422">
        <w:rPr>
          <w:i/>
        </w:rPr>
        <w:t>Schizochytrium</w:t>
      </w:r>
      <w:r w:rsidRPr="00B21422">
        <w:t xml:space="preserve"> sp. (ATCC PTA-9695) is as safe as other </w:t>
      </w:r>
      <w:r w:rsidR="002D7D41">
        <w:t xml:space="preserve">n-3 </w:t>
      </w:r>
      <w:r w:rsidRPr="00B21422">
        <w:t xml:space="preserve">LC-PUFA oils derived from micro-algal sources that are already permitted </w:t>
      </w:r>
      <w:r w:rsidR="006058D7">
        <w:t xml:space="preserve">for </w:t>
      </w:r>
      <w:r w:rsidR="0083579F">
        <w:t xml:space="preserve">use in </w:t>
      </w:r>
      <w:r w:rsidRPr="00B21422">
        <w:t>infant formula products.</w:t>
      </w:r>
    </w:p>
    <w:p w14:paraId="33EE77EA" w14:textId="7725F5EA" w:rsidR="002C1A3B" w:rsidRPr="00B21422" w:rsidRDefault="002C1A3B" w:rsidP="003225EA">
      <w:pPr>
        <w:pStyle w:val="Heading4"/>
        <w:widowControl/>
        <w:rPr>
          <w:lang w:eastAsia="en-AU"/>
        </w:rPr>
      </w:pPr>
      <w:r w:rsidRPr="00B21422">
        <w:rPr>
          <w:lang w:eastAsia="en-AU"/>
        </w:rPr>
        <w:t>2.5.2.2</w:t>
      </w:r>
      <w:r w:rsidRPr="00B21422">
        <w:rPr>
          <w:lang w:eastAsia="en-AU"/>
        </w:rPr>
        <w:tab/>
        <w:t xml:space="preserve">The provision of adequate information to enable consumers to make informed </w:t>
      </w:r>
      <w:r w:rsidR="00CC52CA">
        <w:rPr>
          <w:lang w:eastAsia="en-AU"/>
        </w:rPr>
        <w:t xml:space="preserve">food </w:t>
      </w:r>
      <w:r w:rsidRPr="00B21422">
        <w:rPr>
          <w:lang w:eastAsia="en-AU"/>
        </w:rPr>
        <w:t>choices</w:t>
      </w:r>
      <w:bookmarkEnd w:id="114"/>
      <w:bookmarkEnd w:id="115"/>
    </w:p>
    <w:p w14:paraId="4D905CD6" w14:textId="20B32A4A" w:rsidR="00E34D84" w:rsidRPr="00B21422" w:rsidRDefault="00E34D84" w:rsidP="003225EA">
      <w:pPr>
        <w:widowControl/>
        <w:rPr>
          <w:rFonts w:cs="Arial"/>
          <w:szCs w:val="22"/>
        </w:rPr>
      </w:pPr>
      <w:bookmarkStart w:id="116" w:name="_Toc300761900"/>
      <w:bookmarkStart w:id="117" w:name="_Toc300933443"/>
      <w:r w:rsidRPr="00B21422">
        <w:rPr>
          <w:rFonts w:cs="Arial"/>
          <w:szCs w:val="22"/>
        </w:rPr>
        <w:t xml:space="preserve">The current provisions within the Code relating to the inclusion of micro-algal DHA-rich oils in the ingredient list on labels of infant formula products would also apply to DHA-B. Therefore, there </w:t>
      </w:r>
      <w:r w:rsidR="00FB68AF" w:rsidRPr="00B21422">
        <w:rPr>
          <w:rFonts w:cs="Arial"/>
          <w:szCs w:val="22"/>
        </w:rPr>
        <w:t xml:space="preserve">is </w:t>
      </w:r>
      <w:r w:rsidRPr="00B21422">
        <w:rPr>
          <w:rFonts w:cs="Arial"/>
          <w:szCs w:val="22"/>
        </w:rPr>
        <w:t xml:space="preserve">no change to the level or type of information required </w:t>
      </w:r>
      <w:r w:rsidR="00FB68AF" w:rsidRPr="00B21422">
        <w:rPr>
          <w:rFonts w:cs="Arial"/>
          <w:szCs w:val="22"/>
        </w:rPr>
        <w:t xml:space="preserve">for </w:t>
      </w:r>
      <w:r w:rsidRPr="00B21422">
        <w:rPr>
          <w:rFonts w:cs="Arial"/>
          <w:szCs w:val="22"/>
        </w:rPr>
        <w:t xml:space="preserve">carers when compared to the current labelling </w:t>
      </w:r>
      <w:r w:rsidR="00721752">
        <w:rPr>
          <w:rFonts w:cs="Arial"/>
          <w:szCs w:val="22"/>
        </w:rPr>
        <w:t xml:space="preserve">of infant formula products. </w:t>
      </w:r>
      <w:r w:rsidRPr="00B21422">
        <w:rPr>
          <w:rFonts w:cs="Arial"/>
          <w:szCs w:val="22"/>
        </w:rPr>
        <w:t xml:space="preserve"> </w:t>
      </w:r>
    </w:p>
    <w:p w14:paraId="35288A5A" w14:textId="77777777" w:rsidR="002C1A3B" w:rsidRPr="00B21422" w:rsidRDefault="002C1A3B" w:rsidP="003225EA">
      <w:pPr>
        <w:pStyle w:val="Heading4"/>
        <w:widowControl/>
        <w:rPr>
          <w:lang w:eastAsia="en-AU"/>
        </w:rPr>
      </w:pPr>
      <w:r w:rsidRPr="00B21422">
        <w:rPr>
          <w:lang w:eastAsia="en-AU"/>
        </w:rPr>
        <w:t>2.5.2.3</w:t>
      </w:r>
      <w:r w:rsidRPr="00B21422">
        <w:rPr>
          <w:lang w:eastAsia="en-AU"/>
        </w:rPr>
        <w:tab/>
        <w:t>The prevention of misleading or deceptive conduct</w:t>
      </w:r>
      <w:bookmarkEnd w:id="116"/>
      <w:bookmarkEnd w:id="117"/>
    </w:p>
    <w:p w14:paraId="398A8AE1" w14:textId="77777777" w:rsidR="00E34D84" w:rsidRPr="00B21422" w:rsidRDefault="00E34D84" w:rsidP="003225EA">
      <w:pPr>
        <w:widowControl/>
        <w:rPr>
          <w:rFonts w:cs="Arial"/>
          <w:szCs w:val="22"/>
        </w:rPr>
      </w:pPr>
      <w:bookmarkStart w:id="118" w:name="_Toc300761901"/>
      <w:bookmarkStart w:id="119" w:name="_Toc300933444"/>
      <w:bookmarkStart w:id="120" w:name="_Toc370223480"/>
      <w:bookmarkStart w:id="121" w:name="_Toc370225395"/>
      <w:r w:rsidRPr="00B21422">
        <w:rPr>
          <w:rFonts w:cs="Arial"/>
          <w:szCs w:val="22"/>
        </w:rPr>
        <w:t xml:space="preserve">Current labelling requirements, which aim to prevent misleading or deceptive conduct, would apply to the proposed amendment. </w:t>
      </w:r>
    </w:p>
    <w:p w14:paraId="79729C60" w14:textId="77777777" w:rsidR="002C1A3B" w:rsidRPr="00B21422" w:rsidRDefault="002C1A3B" w:rsidP="00F91180">
      <w:pPr>
        <w:pStyle w:val="Heading3"/>
      </w:pPr>
      <w:bookmarkStart w:id="122" w:name="_Toc474759489"/>
      <w:r w:rsidRPr="00B21422">
        <w:t>2.5.3</w:t>
      </w:r>
      <w:r w:rsidRPr="00B21422">
        <w:tab/>
        <w:t xml:space="preserve">Subsection 18(2) </w:t>
      </w:r>
      <w:bookmarkEnd w:id="118"/>
      <w:bookmarkEnd w:id="119"/>
      <w:r w:rsidRPr="00B21422">
        <w:t>considerations</w:t>
      </w:r>
      <w:bookmarkEnd w:id="120"/>
      <w:bookmarkEnd w:id="121"/>
      <w:bookmarkEnd w:id="122"/>
    </w:p>
    <w:p w14:paraId="3CE601BE" w14:textId="77777777" w:rsidR="002C1A3B" w:rsidRPr="00B21422" w:rsidRDefault="002C1A3B" w:rsidP="003225EA">
      <w:pPr>
        <w:widowControl/>
        <w:rPr>
          <w:rFonts w:cs="Arial"/>
        </w:rPr>
      </w:pPr>
      <w:r w:rsidRPr="00B21422">
        <w:rPr>
          <w:rFonts w:cs="Arial"/>
        </w:rPr>
        <w:t>FSANZ has also had regard to:</w:t>
      </w:r>
    </w:p>
    <w:p w14:paraId="5EDD9B08" w14:textId="77777777" w:rsidR="002C1A3B" w:rsidRPr="00B21422" w:rsidRDefault="002C1A3B" w:rsidP="003225EA">
      <w:pPr>
        <w:widowControl/>
        <w:rPr>
          <w:rFonts w:cs="Arial"/>
        </w:rPr>
      </w:pPr>
    </w:p>
    <w:p w14:paraId="769166E8" w14:textId="77777777" w:rsidR="002C1A3B" w:rsidRPr="00B21422" w:rsidRDefault="002C1A3B" w:rsidP="003225EA">
      <w:pPr>
        <w:pStyle w:val="FSBullet1"/>
        <w:rPr>
          <w:b/>
        </w:rPr>
      </w:pPr>
      <w:r w:rsidRPr="00B21422">
        <w:rPr>
          <w:b/>
        </w:rPr>
        <w:t>the need for standards to be based on risk analysis using the best available scientific evidence</w:t>
      </w:r>
    </w:p>
    <w:p w14:paraId="4325CCCA" w14:textId="77777777" w:rsidR="002C1A3B" w:rsidRPr="00B21422" w:rsidRDefault="002C1A3B" w:rsidP="003225EA">
      <w:pPr>
        <w:widowControl/>
        <w:rPr>
          <w:lang w:bidi="ar-SA"/>
        </w:rPr>
      </w:pPr>
    </w:p>
    <w:p w14:paraId="57C7B841" w14:textId="21FD423E" w:rsidR="00E34D84" w:rsidRPr="00B21422" w:rsidRDefault="00E34D84" w:rsidP="003225EA">
      <w:pPr>
        <w:widowControl/>
        <w:rPr>
          <w:szCs w:val="22"/>
        </w:rPr>
      </w:pPr>
      <w:r w:rsidRPr="00B21422">
        <w:rPr>
          <w:szCs w:val="22"/>
        </w:rPr>
        <w:t xml:space="preserve">FSANZ has applied a risk analysis approach to the consideration of this assessment which considered the best available evidence. Based on the risk and technical assessment (SD1), FSANZ has concluded that oil derived from </w:t>
      </w:r>
      <w:r w:rsidRPr="00B21422">
        <w:rPr>
          <w:i/>
          <w:iCs/>
          <w:szCs w:val="22"/>
        </w:rPr>
        <w:t>Schizochytrium</w:t>
      </w:r>
      <w:r w:rsidRPr="00B21422">
        <w:rPr>
          <w:szCs w:val="22"/>
        </w:rPr>
        <w:t xml:space="preserve"> sp. (ATCC PTA-9695) is as safe as other n-3 LC-PUFA oils derived from micro-algae already permitted </w:t>
      </w:r>
      <w:r w:rsidR="002D7D41">
        <w:rPr>
          <w:szCs w:val="22"/>
        </w:rPr>
        <w:t>for use in</w:t>
      </w:r>
      <w:r w:rsidRPr="00B21422">
        <w:rPr>
          <w:szCs w:val="22"/>
        </w:rPr>
        <w:t xml:space="preserve"> infant formula products.</w:t>
      </w:r>
    </w:p>
    <w:p w14:paraId="348BCC6A" w14:textId="5380B03A" w:rsidR="00BD681B" w:rsidRDefault="00BD681B" w:rsidP="003225EA">
      <w:pPr>
        <w:widowControl/>
        <w:rPr>
          <w:lang w:bidi="ar-SA"/>
        </w:rPr>
      </w:pPr>
      <w:r>
        <w:rPr>
          <w:lang w:bidi="ar-SA"/>
        </w:rPr>
        <w:br w:type="page"/>
      </w:r>
    </w:p>
    <w:p w14:paraId="722DD280" w14:textId="77777777" w:rsidR="002C1A3B" w:rsidRPr="00B21422" w:rsidRDefault="002C1A3B" w:rsidP="003225EA">
      <w:pPr>
        <w:pStyle w:val="FSBullet1"/>
        <w:rPr>
          <w:b/>
        </w:rPr>
      </w:pPr>
      <w:r w:rsidRPr="00B21422">
        <w:rPr>
          <w:b/>
        </w:rPr>
        <w:lastRenderedPageBreak/>
        <w:t>the promotion of consistency between domestic and international food standards</w:t>
      </w:r>
    </w:p>
    <w:p w14:paraId="62F16A17" w14:textId="77777777" w:rsidR="002C1A3B" w:rsidRPr="00B21422" w:rsidRDefault="002C1A3B" w:rsidP="003225EA">
      <w:pPr>
        <w:widowControl/>
        <w:rPr>
          <w:lang w:bidi="ar-SA"/>
        </w:rPr>
      </w:pPr>
    </w:p>
    <w:p w14:paraId="7513BC95" w14:textId="6C36442E" w:rsidR="00E34D84" w:rsidRPr="00B21422" w:rsidRDefault="00E34D84" w:rsidP="00BD681B">
      <w:pPr>
        <w:widowControl/>
        <w:ind w:right="-286"/>
      </w:pPr>
      <w:r w:rsidRPr="00B21422">
        <w:t xml:space="preserve">FSANZ has reviewed the relevant overseas regulations for infant formula products summarised in </w:t>
      </w:r>
      <w:r w:rsidR="002D7D41" w:rsidRPr="00B21422">
        <w:t xml:space="preserve">section </w:t>
      </w:r>
      <w:r w:rsidRPr="00B21422">
        <w:t xml:space="preserve">1.3.3. The proposed regulatory approach is in line with international guidelines and permissions and will promote consistency between domestic and international food standards. </w:t>
      </w:r>
    </w:p>
    <w:p w14:paraId="5E328D85" w14:textId="77777777" w:rsidR="002C1A3B" w:rsidRPr="00B21422" w:rsidRDefault="002C1A3B" w:rsidP="003225EA">
      <w:pPr>
        <w:widowControl/>
        <w:rPr>
          <w:lang w:bidi="ar-SA"/>
        </w:rPr>
      </w:pPr>
    </w:p>
    <w:p w14:paraId="546C1F93" w14:textId="77777777" w:rsidR="002C1A3B" w:rsidRPr="00B21422" w:rsidRDefault="002C1A3B" w:rsidP="003225EA">
      <w:pPr>
        <w:pStyle w:val="FSBullet1"/>
        <w:rPr>
          <w:b/>
        </w:rPr>
      </w:pPr>
      <w:r w:rsidRPr="00B21422">
        <w:rPr>
          <w:b/>
        </w:rPr>
        <w:t>the desirability of an efficient and internationally competitive food industry</w:t>
      </w:r>
    </w:p>
    <w:p w14:paraId="530438B2" w14:textId="77777777" w:rsidR="002C1A3B" w:rsidRPr="00B21422" w:rsidRDefault="002C1A3B" w:rsidP="003225EA">
      <w:pPr>
        <w:widowControl/>
        <w:rPr>
          <w:lang w:bidi="ar-SA"/>
        </w:rPr>
      </w:pPr>
    </w:p>
    <w:p w14:paraId="7F75C28E" w14:textId="2FA66EED" w:rsidR="00E34D84" w:rsidRPr="00B21422" w:rsidRDefault="004008A1" w:rsidP="003225EA">
      <w:pPr>
        <w:widowControl/>
      </w:pPr>
      <w:r>
        <w:t xml:space="preserve">The proposed regulatory approach </w:t>
      </w:r>
      <w:r w:rsidRPr="00B21422">
        <w:t>supports an internationally competitive food industry</w:t>
      </w:r>
      <w:r>
        <w:t xml:space="preserve"> by permitting </w:t>
      </w:r>
      <w:r w:rsidR="00E34D84" w:rsidRPr="00B21422">
        <w:t xml:space="preserve">the optional addition of oil derived from marine micro-algae </w:t>
      </w:r>
      <w:r w:rsidR="00E34D84" w:rsidRPr="00B21422">
        <w:rPr>
          <w:i/>
        </w:rPr>
        <w:t>Schizochytrium</w:t>
      </w:r>
      <w:r w:rsidR="00E34D84" w:rsidRPr="00B21422">
        <w:t xml:space="preserve"> sp. (ATCC PTA-9695). This permission w</w:t>
      </w:r>
      <w:r w:rsidR="005A2C33">
        <w:t>ill</w:t>
      </w:r>
      <w:r w:rsidR="00E34D84" w:rsidRPr="00B21422">
        <w:t xml:space="preserve"> be available to all manufacturers, allow</w:t>
      </w:r>
      <w:r w:rsidR="005A2C33">
        <w:t>s</w:t>
      </w:r>
      <w:r w:rsidR="00E34D84" w:rsidRPr="00B21422">
        <w:t xml:space="preserve"> for innovation, and is consistent with international and overseas regulations. </w:t>
      </w:r>
    </w:p>
    <w:p w14:paraId="22A2EC8C" w14:textId="77777777" w:rsidR="00E34D84" w:rsidRPr="00B21422" w:rsidRDefault="00E34D84" w:rsidP="003225EA">
      <w:pPr>
        <w:widowControl/>
        <w:rPr>
          <w:lang w:bidi="ar-SA"/>
        </w:rPr>
      </w:pPr>
    </w:p>
    <w:p w14:paraId="7D0DE82A" w14:textId="77777777" w:rsidR="002C1A3B" w:rsidRPr="00B21422" w:rsidRDefault="002C1A3B" w:rsidP="003225EA">
      <w:pPr>
        <w:pStyle w:val="FSBullet1"/>
        <w:rPr>
          <w:b/>
        </w:rPr>
      </w:pPr>
      <w:r w:rsidRPr="00B21422">
        <w:rPr>
          <w:b/>
        </w:rPr>
        <w:t>the promotion of fair trading in food</w:t>
      </w:r>
    </w:p>
    <w:p w14:paraId="18993B8B" w14:textId="77777777" w:rsidR="00E34D84" w:rsidRPr="00B21422" w:rsidRDefault="00E34D84" w:rsidP="003225EA">
      <w:pPr>
        <w:widowControl/>
        <w:rPr>
          <w:lang w:bidi="ar-SA"/>
        </w:rPr>
      </w:pPr>
    </w:p>
    <w:p w14:paraId="498DFE51" w14:textId="565E9EE3" w:rsidR="00E34D84" w:rsidRPr="00B21422" w:rsidRDefault="00E34D84" w:rsidP="003225EA">
      <w:pPr>
        <w:widowControl/>
      </w:pPr>
      <w:r w:rsidRPr="00B21422">
        <w:t xml:space="preserve">Several novel oils derived from marine micro-algae are already permitted as an optional ingredient in infant formula products. Extending the permission to include oil derived from marine micro-algae </w:t>
      </w:r>
      <w:r w:rsidRPr="00B21422">
        <w:rPr>
          <w:i/>
        </w:rPr>
        <w:t>Schizochytrium</w:t>
      </w:r>
      <w:r w:rsidRPr="00B21422">
        <w:t xml:space="preserve"> sp. (ATCC PTA-9695) </w:t>
      </w:r>
      <w:r w:rsidR="004008A1">
        <w:t>is</w:t>
      </w:r>
      <w:r w:rsidRPr="00B21422">
        <w:t xml:space="preserve"> equitable for </w:t>
      </w:r>
      <w:r w:rsidR="004008A1">
        <w:t xml:space="preserve">all </w:t>
      </w:r>
      <w:r w:rsidRPr="00B21422">
        <w:t>infant formula products, and allow</w:t>
      </w:r>
      <w:r w:rsidR="004008A1">
        <w:t>s</w:t>
      </w:r>
      <w:r w:rsidRPr="00B21422">
        <w:t xml:space="preserve"> infant formula products manufacturers to use alternative formulations that will continue to promote fair trade. </w:t>
      </w:r>
    </w:p>
    <w:p w14:paraId="104D263B" w14:textId="77777777" w:rsidR="002C1A3B" w:rsidRPr="00B21422" w:rsidRDefault="002C1A3B" w:rsidP="003225EA">
      <w:pPr>
        <w:widowControl/>
        <w:rPr>
          <w:lang w:bidi="ar-SA"/>
        </w:rPr>
      </w:pPr>
    </w:p>
    <w:p w14:paraId="7AC06A97" w14:textId="77777777" w:rsidR="002C1A3B" w:rsidRPr="00B21422" w:rsidRDefault="002C1A3B" w:rsidP="003225EA">
      <w:pPr>
        <w:pStyle w:val="FSBullet1"/>
        <w:rPr>
          <w:b/>
        </w:rPr>
      </w:pPr>
      <w:r w:rsidRPr="00B21422">
        <w:rPr>
          <w:b/>
        </w:rPr>
        <w:t xml:space="preserve">any written policy guidelines formulated by the </w:t>
      </w:r>
      <w:r w:rsidR="00EA2226" w:rsidRPr="00B21422">
        <w:rPr>
          <w:b/>
        </w:rPr>
        <w:t>Forum on Food Regulation</w:t>
      </w:r>
    </w:p>
    <w:p w14:paraId="42C615CC" w14:textId="77777777" w:rsidR="002C1A3B" w:rsidRPr="00B21422" w:rsidRDefault="002C1A3B" w:rsidP="003225EA">
      <w:pPr>
        <w:widowControl/>
        <w:rPr>
          <w:lang w:bidi="ar-SA"/>
        </w:rPr>
      </w:pPr>
    </w:p>
    <w:p w14:paraId="6CCDCC15" w14:textId="25EA4B96" w:rsidR="0096626A" w:rsidRDefault="003C60AC" w:rsidP="00BD681B">
      <w:pPr>
        <w:widowControl/>
        <w:ind w:right="-428"/>
      </w:pPr>
      <w:r>
        <w:rPr>
          <w:szCs w:val="22"/>
        </w:rPr>
        <w:t>Two</w:t>
      </w:r>
      <w:r w:rsidRPr="00B21422">
        <w:rPr>
          <w:szCs w:val="22"/>
        </w:rPr>
        <w:t xml:space="preserve"> </w:t>
      </w:r>
      <w:r w:rsidR="007D0146" w:rsidRPr="00B21422">
        <w:rPr>
          <w:szCs w:val="22"/>
        </w:rPr>
        <w:t>Ministerial Policy Guidelines apply to this Application.</w:t>
      </w:r>
      <w:r w:rsidR="007D0146">
        <w:rPr>
          <w:szCs w:val="22"/>
        </w:rPr>
        <w:t xml:space="preserve"> </w:t>
      </w:r>
      <w:r w:rsidR="009008C8" w:rsidRPr="00B21422">
        <w:t>A summary of FSANZ’s consideration of this Application against the specific policy principles in the Ministerial Policy Guideline on the Regulation of Infant Formula Products is at SD2</w:t>
      </w:r>
      <w:r w:rsidR="00626F8C">
        <w:t xml:space="preserve"> – </w:t>
      </w:r>
      <w:r w:rsidR="00626F8C" w:rsidRPr="00FC4849">
        <w:t>Assessment against the Policy Guidelines</w:t>
      </w:r>
      <w:r w:rsidR="009008C8" w:rsidRPr="00B21422">
        <w:t xml:space="preserve">. </w:t>
      </w:r>
    </w:p>
    <w:p w14:paraId="5F225B4C" w14:textId="77777777" w:rsidR="0063219C" w:rsidRDefault="0063219C" w:rsidP="003225EA">
      <w:pPr>
        <w:widowControl/>
        <w:rPr>
          <w:szCs w:val="22"/>
        </w:rPr>
      </w:pPr>
    </w:p>
    <w:p w14:paraId="633F9150" w14:textId="2B521E2E" w:rsidR="009008C8" w:rsidRDefault="009008C8" w:rsidP="003225EA">
      <w:pPr>
        <w:widowControl/>
        <w:rPr>
          <w:szCs w:val="22"/>
        </w:rPr>
      </w:pPr>
      <w:r w:rsidRPr="00B21422">
        <w:rPr>
          <w:szCs w:val="22"/>
        </w:rPr>
        <w:t>FSANZ consider</w:t>
      </w:r>
      <w:r w:rsidR="0069172D">
        <w:rPr>
          <w:szCs w:val="22"/>
        </w:rPr>
        <w:t>ed</w:t>
      </w:r>
      <w:r w:rsidRPr="00B21422">
        <w:rPr>
          <w:szCs w:val="22"/>
        </w:rPr>
        <w:t xml:space="preserve"> that the </w:t>
      </w:r>
      <w:hyperlink r:id="rId23" w:history="1">
        <w:r w:rsidRPr="0096626A">
          <w:rPr>
            <w:rStyle w:val="Hyperlink"/>
            <w:szCs w:val="22"/>
          </w:rPr>
          <w:t>Ministerial Policy Guideline on the Regulation of Infant Formula Products</w:t>
        </w:r>
      </w:hyperlink>
      <w:r w:rsidR="003C60AC">
        <w:rPr>
          <w:rStyle w:val="FootnoteReference"/>
          <w:szCs w:val="22"/>
        </w:rPr>
        <w:footnoteReference w:id="7"/>
      </w:r>
      <w:r w:rsidR="003C60AC">
        <w:rPr>
          <w:szCs w:val="22"/>
        </w:rPr>
        <w:t xml:space="preserve"> </w:t>
      </w:r>
      <w:r w:rsidRPr="00B21422">
        <w:rPr>
          <w:szCs w:val="22"/>
        </w:rPr>
        <w:t xml:space="preserve">would be met if DHA-rich oil derived from </w:t>
      </w:r>
      <w:r w:rsidRPr="00B21422">
        <w:rPr>
          <w:i/>
          <w:iCs/>
          <w:szCs w:val="22"/>
        </w:rPr>
        <w:t>Schizochytrium</w:t>
      </w:r>
      <w:r w:rsidRPr="00B21422">
        <w:rPr>
          <w:szCs w:val="22"/>
        </w:rPr>
        <w:t xml:space="preserve"> sp. (ATCC PTA-9695) were to be permitted as a source of oil in infant formula products. The relevant specific policy principles for composition are: (d), (e)</w:t>
      </w:r>
      <w:r w:rsidR="00626F8C">
        <w:rPr>
          <w:szCs w:val="22"/>
        </w:rPr>
        <w:t>,</w:t>
      </w:r>
      <w:r w:rsidRPr="00B21422">
        <w:rPr>
          <w:szCs w:val="22"/>
        </w:rPr>
        <w:t xml:space="preserve"> (h)</w:t>
      </w:r>
      <w:r w:rsidR="00626F8C">
        <w:rPr>
          <w:szCs w:val="22"/>
        </w:rPr>
        <w:t>,</w:t>
      </w:r>
      <w:r w:rsidRPr="00B21422">
        <w:rPr>
          <w:szCs w:val="22"/>
        </w:rPr>
        <w:t xml:space="preserve"> (i) and (j). These are further discussed in Table 1 of SD2. </w:t>
      </w:r>
      <w:r w:rsidR="00624A56" w:rsidRPr="00B21422">
        <w:rPr>
          <w:szCs w:val="22"/>
        </w:rPr>
        <w:t>Specific policy principles (a), (b), (f) and (g) are not applicable to this Application.</w:t>
      </w:r>
    </w:p>
    <w:p w14:paraId="29F9A5D4" w14:textId="77777777" w:rsidR="0063219C" w:rsidRPr="00B21422" w:rsidRDefault="0063219C" w:rsidP="003225EA">
      <w:pPr>
        <w:widowControl/>
        <w:rPr>
          <w:szCs w:val="22"/>
        </w:rPr>
      </w:pPr>
    </w:p>
    <w:p w14:paraId="310DF721" w14:textId="7778B6D0" w:rsidR="009008C8" w:rsidRPr="00B21422" w:rsidRDefault="009008C8" w:rsidP="003225EA">
      <w:pPr>
        <w:widowControl/>
        <w:rPr>
          <w:szCs w:val="22"/>
        </w:rPr>
      </w:pPr>
      <w:r w:rsidRPr="00B21422">
        <w:rPr>
          <w:szCs w:val="22"/>
        </w:rPr>
        <w:t>FSANZ consider</w:t>
      </w:r>
      <w:r w:rsidR="0069172D">
        <w:rPr>
          <w:szCs w:val="22"/>
        </w:rPr>
        <w:t>ed</w:t>
      </w:r>
      <w:r w:rsidRPr="00B21422">
        <w:rPr>
          <w:szCs w:val="22"/>
        </w:rPr>
        <w:t xml:space="preserve"> that the </w:t>
      </w:r>
      <w:hyperlink r:id="rId24" w:history="1">
        <w:r w:rsidRPr="00725FAB">
          <w:rPr>
            <w:rStyle w:val="Hyperlink"/>
            <w:szCs w:val="22"/>
          </w:rPr>
          <w:t>Ministerial Policy Guideline on Novel Foods</w:t>
        </w:r>
      </w:hyperlink>
      <w:r w:rsidR="003C60AC">
        <w:rPr>
          <w:rStyle w:val="FootnoteReference"/>
          <w:szCs w:val="22"/>
        </w:rPr>
        <w:footnoteReference w:id="8"/>
      </w:r>
      <w:r w:rsidR="003C60AC">
        <w:rPr>
          <w:szCs w:val="22"/>
        </w:rPr>
        <w:t xml:space="preserve"> </w:t>
      </w:r>
      <w:r w:rsidRPr="00B21422">
        <w:rPr>
          <w:szCs w:val="22"/>
        </w:rPr>
        <w:t xml:space="preserve">has been met. As discussed above in relation to the </w:t>
      </w:r>
      <w:r w:rsidR="005E3D81">
        <w:rPr>
          <w:szCs w:val="22"/>
        </w:rPr>
        <w:t>s</w:t>
      </w:r>
      <w:r w:rsidR="005E3D81" w:rsidRPr="00B21422">
        <w:rPr>
          <w:szCs w:val="22"/>
        </w:rPr>
        <w:t xml:space="preserve">ection </w:t>
      </w:r>
      <w:r w:rsidRPr="00B21422">
        <w:rPr>
          <w:szCs w:val="22"/>
        </w:rPr>
        <w:t xml:space="preserve">18(2) objectives, listing DHA-rich oil derived from </w:t>
      </w:r>
      <w:r w:rsidRPr="00B21422">
        <w:rPr>
          <w:i/>
          <w:iCs/>
          <w:szCs w:val="22"/>
        </w:rPr>
        <w:t>Schizochytrium</w:t>
      </w:r>
      <w:r w:rsidRPr="00B21422">
        <w:rPr>
          <w:szCs w:val="22"/>
        </w:rPr>
        <w:t xml:space="preserve"> sp. (ATCC PTA-9695) as an alternative to permitted DHA-rich algal oils </w:t>
      </w:r>
      <w:r w:rsidR="0063219C">
        <w:rPr>
          <w:szCs w:val="22"/>
        </w:rPr>
        <w:t>i</w:t>
      </w:r>
      <w:r w:rsidR="00D272A2">
        <w:rPr>
          <w:szCs w:val="22"/>
        </w:rPr>
        <w:t>s</w:t>
      </w:r>
      <w:r w:rsidRPr="00B21422">
        <w:rPr>
          <w:szCs w:val="22"/>
        </w:rPr>
        <w:t xml:space="preserve"> consistent with international approaches for these types of oils and infant formula products. It also provide</w:t>
      </w:r>
      <w:r w:rsidR="00D272A2">
        <w:rPr>
          <w:szCs w:val="22"/>
        </w:rPr>
        <w:t>s</w:t>
      </w:r>
      <w:r w:rsidRPr="00B21422">
        <w:rPr>
          <w:szCs w:val="22"/>
        </w:rPr>
        <w:t xml:space="preserve"> a timely and cost effective response to the Applicant and industry more broadly which encourages industry growth, innovation and international trade.</w:t>
      </w:r>
    </w:p>
    <w:p w14:paraId="433796A4" w14:textId="77777777" w:rsidR="001122EC" w:rsidRPr="00B21422" w:rsidRDefault="002C1A3B" w:rsidP="003225EA">
      <w:pPr>
        <w:pStyle w:val="Heading1"/>
        <w:widowControl/>
      </w:pPr>
      <w:bookmarkStart w:id="123" w:name="_Toc473297192"/>
      <w:bookmarkStart w:id="124" w:name="_Toc474759490"/>
      <w:bookmarkStart w:id="125" w:name="_Toc11735643"/>
      <w:bookmarkStart w:id="126" w:name="_Toc29883130"/>
      <w:bookmarkStart w:id="127" w:name="_Toc41906817"/>
      <w:bookmarkStart w:id="128" w:name="_Toc41907564"/>
      <w:bookmarkStart w:id="129" w:name="_Toc43112360"/>
      <w:bookmarkEnd w:id="100"/>
      <w:r w:rsidRPr="00B21422">
        <w:t>6</w:t>
      </w:r>
      <w:r w:rsidR="001122EC" w:rsidRPr="00B21422">
        <w:tab/>
        <w:t>R</w:t>
      </w:r>
      <w:r w:rsidR="000B427A" w:rsidRPr="00B21422">
        <w:t>eferences</w:t>
      </w:r>
      <w:bookmarkEnd w:id="123"/>
      <w:bookmarkEnd w:id="124"/>
    </w:p>
    <w:p w14:paraId="0E798A7F" w14:textId="530D2166" w:rsidR="002C6DB1" w:rsidRPr="00B21422" w:rsidRDefault="00157382" w:rsidP="003225EA">
      <w:pPr>
        <w:widowControl/>
        <w:rPr>
          <w:sz w:val="20"/>
          <w:szCs w:val="20"/>
        </w:rPr>
      </w:pPr>
      <w:hyperlink r:id="rId25" w:history="1">
        <w:r w:rsidR="002C6DB1" w:rsidRPr="00475E6F">
          <w:rPr>
            <w:rStyle w:val="Hyperlink"/>
            <w:sz w:val="20"/>
            <w:szCs w:val="20"/>
          </w:rPr>
          <w:t>ANZFA (2002) Supplementary Final Assessment Report. Proposal P93 – Infant Formula</w:t>
        </w:r>
      </w:hyperlink>
      <w:r w:rsidR="002C6DB1" w:rsidRPr="00B21422">
        <w:rPr>
          <w:sz w:val="20"/>
          <w:szCs w:val="20"/>
        </w:rPr>
        <w:t xml:space="preserve">. Australia New Zealand Food Authority, Canberra </w:t>
      </w:r>
    </w:p>
    <w:p w14:paraId="429675E8" w14:textId="77777777" w:rsidR="0012388D" w:rsidRDefault="00D15A08" w:rsidP="003225EA">
      <w:pPr>
        <w:widowControl/>
        <w:spacing w:before="240"/>
        <w:rPr>
          <w:b/>
          <w:sz w:val="28"/>
          <w:szCs w:val="28"/>
        </w:rPr>
      </w:pPr>
      <w:r w:rsidRPr="006C22A7">
        <w:rPr>
          <w:b/>
          <w:sz w:val="28"/>
          <w:szCs w:val="28"/>
        </w:rPr>
        <w:t>A</w:t>
      </w:r>
      <w:bookmarkEnd w:id="125"/>
      <w:bookmarkEnd w:id="126"/>
      <w:bookmarkEnd w:id="127"/>
      <w:bookmarkEnd w:id="128"/>
      <w:bookmarkEnd w:id="129"/>
      <w:r w:rsidR="00B21055">
        <w:rPr>
          <w:b/>
          <w:sz w:val="28"/>
          <w:szCs w:val="28"/>
        </w:rPr>
        <w:t>ttachments</w:t>
      </w:r>
    </w:p>
    <w:p w14:paraId="213610A9" w14:textId="77777777" w:rsidR="006C22A7" w:rsidRDefault="006C22A7" w:rsidP="003225EA">
      <w:pPr>
        <w:widowControl/>
      </w:pPr>
    </w:p>
    <w:p w14:paraId="3229F2E5" w14:textId="6D0A39CD" w:rsidR="00795D86" w:rsidRPr="00B21422" w:rsidRDefault="00755F02" w:rsidP="003225EA">
      <w:pPr>
        <w:widowControl/>
        <w:ind w:left="567" w:hanging="567"/>
      </w:pPr>
      <w:r>
        <w:t>A.</w:t>
      </w:r>
      <w:r>
        <w:tab/>
      </w:r>
      <w:r w:rsidR="009A2699" w:rsidRPr="009A2699">
        <w:t xml:space="preserve">Approved </w:t>
      </w:r>
      <w:r w:rsidR="00E47D3B">
        <w:t xml:space="preserve">draft </w:t>
      </w:r>
      <w:r w:rsidR="000576EB" w:rsidRPr="00B21422">
        <w:t>variation to the</w:t>
      </w:r>
      <w:r w:rsidR="005E06C0" w:rsidRPr="00B21422">
        <w:t xml:space="preserve"> </w:t>
      </w:r>
      <w:r w:rsidR="000576EB" w:rsidRPr="00B21422">
        <w:rPr>
          <w:i/>
        </w:rPr>
        <w:t>Australia New Zealand Food Standards Code</w:t>
      </w:r>
      <w:r w:rsidR="005E06C0" w:rsidRPr="00B21422">
        <w:rPr>
          <w:i/>
        </w:rPr>
        <w:t xml:space="preserve"> </w:t>
      </w:r>
    </w:p>
    <w:p w14:paraId="0E580A52" w14:textId="77777777" w:rsidR="00456BD5" w:rsidRPr="00B21422" w:rsidRDefault="00456BD5" w:rsidP="003225EA">
      <w:pPr>
        <w:widowControl/>
        <w:ind w:left="567" w:hanging="567"/>
      </w:pPr>
      <w:r w:rsidRPr="00B21422">
        <w:t>B</w:t>
      </w:r>
      <w:r w:rsidR="00755F02" w:rsidRPr="00B21422">
        <w:t>.</w:t>
      </w:r>
      <w:r w:rsidR="00755F02" w:rsidRPr="00B21422">
        <w:tab/>
      </w:r>
      <w:r w:rsidRPr="00B21422">
        <w:t xml:space="preserve">Explanatory Statement </w:t>
      </w:r>
    </w:p>
    <w:p w14:paraId="4C4B17C3" w14:textId="795188F2" w:rsidR="00456BD5" w:rsidRDefault="003C4969" w:rsidP="003225EA">
      <w:pPr>
        <w:pStyle w:val="Heading2"/>
        <w:widowControl/>
        <w:ind w:left="0" w:firstLine="0"/>
        <w:rPr>
          <w:i/>
        </w:rPr>
      </w:pPr>
      <w:r w:rsidRPr="00932F14">
        <w:br w:type="page"/>
      </w:r>
      <w:bookmarkStart w:id="130" w:name="_Toc29883131"/>
      <w:bookmarkStart w:id="131" w:name="_Toc41906818"/>
      <w:bookmarkStart w:id="132" w:name="_Toc41907565"/>
      <w:bookmarkStart w:id="133" w:name="_Toc120358596"/>
      <w:bookmarkStart w:id="134" w:name="_Toc175381458"/>
      <w:bookmarkStart w:id="135" w:name="_Toc11735644"/>
      <w:bookmarkStart w:id="136" w:name="_Toc473297193"/>
      <w:bookmarkStart w:id="137" w:name="_Toc474759491"/>
      <w:r w:rsidRPr="00932F14">
        <w:lastRenderedPageBreak/>
        <w:t xml:space="preserve">Attachment </w:t>
      </w:r>
      <w:bookmarkEnd w:id="130"/>
      <w:bookmarkEnd w:id="131"/>
      <w:bookmarkEnd w:id="132"/>
      <w:bookmarkEnd w:id="133"/>
      <w:bookmarkEnd w:id="134"/>
      <w:r w:rsidR="00456B54">
        <w:t>A</w:t>
      </w:r>
      <w:bookmarkStart w:id="138" w:name="_Toc120358597"/>
      <w:bookmarkStart w:id="139" w:name="_Toc175381459"/>
      <w:bookmarkEnd w:id="135"/>
      <w:r w:rsidR="00755F02">
        <w:t xml:space="preserve"> –</w:t>
      </w:r>
      <w:bookmarkStart w:id="140" w:name="_Toc120358598"/>
      <w:bookmarkStart w:id="141" w:name="_Toc175381460"/>
      <w:bookmarkEnd w:id="138"/>
      <w:bookmarkEnd w:id="139"/>
      <w:r w:rsidR="005E06C0">
        <w:t xml:space="preserve"> </w:t>
      </w:r>
      <w:r w:rsidR="00456BD5">
        <w:t>Approved</w:t>
      </w:r>
      <w:r w:rsidR="00456BD5" w:rsidRPr="00932F14">
        <w:t xml:space="preserve"> </w:t>
      </w:r>
      <w:r w:rsidR="00456BD5">
        <w:t xml:space="preserve">draft </w:t>
      </w:r>
      <w:r w:rsidR="00456BD5" w:rsidRPr="00932F14">
        <w:t>variatio</w:t>
      </w:r>
      <w:r w:rsidR="00456BD5" w:rsidRPr="007D0146">
        <w:t xml:space="preserve">n </w:t>
      </w:r>
      <w:r w:rsidR="00456BD5" w:rsidRPr="00932F14">
        <w:t>to the</w:t>
      </w:r>
      <w:r w:rsidR="00456BD5" w:rsidRPr="00755F02">
        <w:t xml:space="preserve"> </w:t>
      </w:r>
      <w:r w:rsidR="00456BD5" w:rsidRPr="00795D86">
        <w:rPr>
          <w:i/>
        </w:rPr>
        <w:t>Australia New Zealand Food Standards Code</w:t>
      </w:r>
      <w:bookmarkEnd w:id="136"/>
      <w:bookmarkEnd w:id="137"/>
      <w:r w:rsidR="00456BD5">
        <w:rPr>
          <w:i/>
        </w:rPr>
        <w:t xml:space="preserve"> </w:t>
      </w:r>
    </w:p>
    <w:p w14:paraId="1CAC490A" w14:textId="0E3320FF" w:rsidR="003C60AC" w:rsidRPr="003C60AC" w:rsidRDefault="003C60AC" w:rsidP="003C60AC">
      <w:pPr>
        <w:pBdr>
          <w:bottom w:val="single" w:sz="4" w:space="1" w:color="auto"/>
        </w:pBdr>
        <w:tabs>
          <w:tab w:val="left" w:pos="851"/>
        </w:tabs>
        <w:rPr>
          <w:b/>
          <w:bCs/>
          <w:szCs w:val="20"/>
          <w:lang w:bidi="ar-SA"/>
        </w:rPr>
      </w:pPr>
      <w:r w:rsidRPr="00C0014E">
        <w:rPr>
          <w:noProof/>
          <w:sz w:val="20"/>
          <w:lang w:eastAsia="en-GB" w:bidi="ar-SA"/>
        </w:rPr>
        <w:drawing>
          <wp:inline distT="0" distB="0" distL="0" distR="0" wp14:anchorId="5A858850" wp14:editId="4FCB4F4F">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5AE7944" w14:textId="77777777" w:rsidR="003C60AC" w:rsidRPr="00687410" w:rsidRDefault="003C60AC" w:rsidP="003C60AC">
      <w:pPr>
        <w:pBdr>
          <w:bottom w:val="single" w:sz="4" w:space="1" w:color="auto"/>
        </w:pBdr>
        <w:tabs>
          <w:tab w:val="left" w:pos="851"/>
        </w:tabs>
        <w:rPr>
          <w:b/>
          <w:sz w:val="18"/>
          <w:szCs w:val="20"/>
          <w:lang w:bidi="ar-SA"/>
        </w:rPr>
      </w:pPr>
    </w:p>
    <w:p w14:paraId="391DC304" w14:textId="0BC842AB" w:rsidR="003C60AC" w:rsidRPr="00687410" w:rsidRDefault="007F4561" w:rsidP="003C60AC">
      <w:pPr>
        <w:pBdr>
          <w:bottom w:val="single" w:sz="4" w:space="1" w:color="auto"/>
        </w:pBdr>
        <w:tabs>
          <w:tab w:val="left" w:pos="851"/>
        </w:tabs>
        <w:rPr>
          <w:b/>
          <w:sz w:val="20"/>
        </w:rPr>
      </w:pPr>
      <w:r w:rsidRPr="00687410">
        <w:rPr>
          <w:b/>
          <w:sz w:val="20"/>
        </w:rPr>
        <w:t>Food Standards (Application A1124 – Alternative DHA-rich Algal Oil for Infant Formula Products) Variation</w:t>
      </w:r>
    </w:p>
    <w:p w14:paraId="38616764" w14:textId="77777777" w:rsidR="007F4561" w:rsidRPr="003C60AC" w:rsidRDefault="007F4561" w:rsidP="003C60AC">
      <w:pPr>
        <w:pBdr>
          <w:bottom w:val="single" w:sz="4" w:space="1" w:color="auto"/>
        </w:pBdr>
        <w:tabs>
          <w:tab w:val="left" w:pos="851"/>
        </w:tabs>
        <w:rPr>
          <w:b/>
          <w:sz w:val="20"/>
          <w:szCs w:val="20"/>
          <w:lang w:bidi="ar-SA"/>
        </w:rPr>
      </w:pPr>
    </w:p>
    <w:p w14:paraId="45CF31DE" w14:textId="77777777" w:rsidR="003C60AC" w:rsidRPr="003C60AC" w:rsidRDefault="003C60AC" w:rsidP="003C60AC">
      <w:pPr>
        <w:tabs>
          <w:tab w:val="left" w:pos="851"/>
        </w:tabs>
        <w:rPr>
          <w:sz w:val="20"/>
          <w:szCs w:val="20"/>
          <w:lang w:bidi="ar-SA"/>
        </w:rPr>
      </w:pPr>
    </w:p>
    <w:p w14:paraId="38B8DB14" w14:textId="77777777" w:rsidR="003C60AC" w:rsidRPr="003C60AC" w:rsidRDefault="003C60AC" w:rsidP="003C60AC">
      <w:pPr>
        <w:tabs>
          <w:tab w:val="left" w:pos="851"/>
        </w:tabs>
        <w:rPr>
          <w:sz w:val="20"/>
          <w:szCs w:val="20"/>
          <w:lang w:bidi="ar-SA"/>
        </w:rPr>
      </w:pPr>
      <w:r w:rsidRPr="003C60AC">
        <w:rPr>
          <w:sz w:val="20"/>
          <w:szCs w:val="20"/>
          <w:lang w:bidi="ar-SA"/>
        </w:rPr>
        <w:t xml:space="preserve">The Board of Food Standards Australia New Zealand gives notice of the making of this variation under section 92 of the </w:t>
      </w:r>
      <w:r w:rsidRPr="003C60AC">
        <w:rPr>
          <w:i/>
          <w:sz w:val="20"/>
          <w:szCs w:val="20"/>
          <w:lang w:bidi="ar-SA"/>
        </w:rPr>
        <w:t>Food Standards Australia New Zealand Act 1991</w:t>
      </w:r>
      <w:r w:rsidRPr="003C60AC">
        <w:rPr>
          <w:sz w:val="20"/>
          <w:szCs w:val="20"/>
          <w:lang w:bidi="ar-SA"/>
        </w:rPr>
        <w:t>.  The variation commences on the date specified in clause 3 of this variation.</w:t>
      </w:r>
    </w:p>
    <w:p w14:paraId="26B96868" w14:textId="77777777" w:rsidR="003C60AC" w:rsidRPr="003C60AC" w:rsidRDefault="003C60AC" w:rsidP="003C60AC">
      <w:pPr>
        <w:tabs>
          <w:tab w:val="left" w:pos="851"/>
        </w:tabs>
        <w:rPr>
          <w:sz w:val="20"/>
          <w:szCs w:val="20"/>
          <w:lang w:bidi="ar-SA"/>
        </w:rPr>
      </w:pPr>
    </w:p>
    <w:p w14:paraId="31E724F7" w14:textId="77777777" w:rsidR="003C60AC" w:rsidRPr="003C60AC" w:rsidRDefault="003C60AC" w:rsidP="003C60AC">
      <w:pPr>
        <w:tabs>
          <w:tab w:val="left" w:pos="851"/>
        </w:tabs>
        <w:rPr>
          <w:sz w:val="20"/>
          <w:szCs w:val="20"/>
          <w:lang w:bidi="ar-SA"/>
        </w:rPr>
      </w:pPr>
      <w:r w:rsidRPr="003C60AC">
        <w:rPr>
          <w:sz w:val="20"/>
          <w:szCs w:val="20"/>
          <w:lang w:bidi="ar-SA"/>
        </w:rPr>
        <w:t>Dated [</w:t>
      </w:r>
      <w:r w:rsidRPr="0063219C">
        <w:rPr>
          <w:color w:val="FF0000"/>
          <w:sz w:val="20"/>
          <w:szCs w:val="20"/>
          <w:lang w:bidi="ar-SA"/>
        </w:rPr>
        <w:t>To be completed by Standards Management Officer</w:t>
      </w:r>
      <w:r w:rsidRPr="003C60AC">
        <w:rPr>
          <w:sz w:val="20"/>
          <w:szCs w:val="20"/>
          <w:lang w:bidi="ar-SA"/>
        </w:rPr>
        <w:t>]</w:t>
      </w:r>
    </w:p>
    <w:p w14:paraId="0B81E0A4" w14:textId="77777777" w:rsidR="003C60AC" w:rsidRPr="003C60AC" w:rsidRDefault="003C60AC" w:rsidP="003C60AC">
      <w:pPr>
        <w:tabs>
          <w:tab w:val="left" w:pos="851"/>
        </w:tabs>
        <w:rPr>
          <w:sz w:val="20"/>
          <w:szCs w:val="20"/>
          <w:lang w:bidi="ar-SA"/>
        </w:rPr>
      </w:pPr>
    </w:p>
    <w:p w14:paraId="10939CF1" w14:textId="77777777" w:rsidR="003C60AC" w:rsidRPr="003C60AC" w:rsidRDefault="003C60AC" w:rsidP="003C60AC">
      <w:pPr>
        <w:tabs>
          <w:tab w:val="left" w:pos="851"/>
        </w:tabs>
        <w:rPr>
          <w:sz w:val="20"/>
          <w:szCs w:val="20"/>
          <w:lang w:bidi="ar-SA"/>
        </w:rPr>
      </w:pPr>
    </w:p>
    <w:p w14:paraId="09F88738" w14:textId="77777777" w:rsidR="003C60AC" w:rsidRPr="003C60AC" w:rsidRDefault="003C60AC" w:rsidP="003C60AC">
      <w:pPr>
        <w:tabs>
          <w:tab w:val="left" w:pos="851"/>
        </w:tabs>
        <w:rPr>
          <w:sz w:val="20"/>
          <w:szCs w:val="20"/>
          <w:lang w:bidi="ar-SA"/>
        </w:rPr>
      </w:pPr>
    </w:p>
    <w:p w14:paraId="1E6835A1" w14:textId="77777777" w:rsidR="003C60AC" w:rsidRPr="003C60AC" w:rsidRDefault="003C60AC" w:rsidP="003C60AC">
      <w:pPr>
        <w:tabs>
          <w:tab w:val="left" w:pos="851"/>
        </w:tabs>
        <w:rPr>
          <w:sz w:val="20"/>
          <w:szCs w:val="20"/>
          <w:lang w:bidi="ar-SA"/>
        </w:rPr>
      </w:pPr>
    </w:p>
    <w:p w14:paraId="1EDE2381" w14:textId="77777777" w:rsidR="003C60AC" w:rsidRPr="003C60AC" w:rsidRDefault="003C60AC" w:rsidP="003C60AC">
      <w:pPr>
        <w:tabs>
          <w:tab w:val="left" w:pos="851"/>
        </w:tabs>
        <w:rPr>
          <w:sz w:val="20"/>
          <w:szCs w:val="20"/>
          <w:lang w:bidi="ar-SA"/>
        </w:rPr>
      </w:pPr>
    </w:p>
    <w:p w14:paraId="4B04C050" w14:textId="77777777" w:rsidR="003C60AC" w:rsidRPr="003C60AC" w:rsidRDefault="003C60AC" w:rsidP="003C60AC">
      <w:pPr>
        <w:tabs>
          <w:tab w:val="left" w:pos="851"/>
        </w:tabs>
        <w:rPr>
          <w:sz w:val="20"/>
          <w:szCs w:val="20"/>
          <w:lang w:bidi="ar-SA"/>
        </w:rPr>
      </w:pPr>
      <w:r w:rsidRPr="003C60AC">
        <w:rPr>
          <w:sz w:val="20"/>
          <w:szCs w:val="20"/>
          <w:lang w:bidi="ar-SA"/>
        </w:rPr>
        <w:t>Standards Management Officer</w:t>
      </w:r>
    </w:p>
    <w:p w14:paraId="10529C99" w14:textId="77777777" w:rsidR="003C60AC" w:rsidRPr="003C60AC" w:rsidRDefault="003C60AC" w:rsidP="003C60AC">
      <w:pPr>
        <w:tabs>
          <w:tab w:val="left" w:pos="851"/>
        </w:tabs>
        <w:rPr>
          <w:sz w:val="20"/>
          <w:szCs w:val="20"/>
          <w:lang w:bidi="ar-SA"/>
        </w:rPr>
      </w:pPr>
      <w:r w:rsidRPr="003C60AC">
        <w:rPr>
          <w:sz w:val="20"/>
          <w:szCs w:val="20"/>
          <w:lang w:bidi="ar-SA"/>
        </w:rPr>
        <w:t>Delegate of the Board of Food Standards Australia New Zealand</w:t>
      </w:r>
    </w:p>
    <w:p w14:paraId="4C4E63C3" w14:textId="77777777" w:rsidR="003C60AC" w:rsidRPr="003C60AC" w:rsidRDefault="003C60AC" w:rsidP="003C60AC">
      <w:pPr>
        <w:tabs>
          <w:tab w:val="left" w:pos="851"/>
        </w:tabs>
        <w:rPr>
          <w:sz w:val="20"/>
          <w:szCs w:val="20"/>
          <w:lang w:bidi="ar-SA"/>
        </w:rPr>
      </w:pPr>
    </w:p>
    <w:p w14:paraId="765602EF" w14:textId="77777777" w:rsidR="003C60AC" w:rsidRPr="003C60AC" w:rsidRDefault="003C60AC" w:rsidP="003C60AC">
      <w:pPr>
        <w:tabs>
          <w:tab w:val="left" w:pos="851"/>
        </w:tabs>
        <w:rPr>
          <w:sz w:val="20"/>
          <w:szCs w:val="20"/>
          <w:lang w:bidi="ar-SA"/>
        </w:rPr>
      </w:pPr>
    </w:p>
    <w:p w14:paraId="5CBB7585" w14:textId="77777777" w:rsidR="003C60AC" w:rsidRPr="003C60AC" w:rsidRDefault="003C60AC" w:rsidP="003C60AC">
      <w:pPr>
        <w:tabs>
          <w:tab w:val="left" w:pos="851"/>
        </w:tabs>
        <w:rPr>
          <w:sz w:val="20"/>
          <w:szCs w:val="20"/>
          <w:lang w:bidi="ar-SA"/>
        </w:rPr>
      </w:pPr>
    </w:p>
    <w:p w14:paraId="1E986255" w14:textId="77777777" w:rsidR="003C60AC" w:rsidRPr="003C60AC" w:rsidRDefault="003C60AC" w:rsidP="003C60AC">
      <w:pPr>
        <w:tabs>
          <w:tab w:val="left" w:pos="851"/>
        </w:tabs>
        <w:rPr>
          <w:sz w:val="20"/>
          <w:szCs w:val="20"/>
          <w:lang w:bidi="ar-SA"/>
        </w:rPr>
      </w:pPr>
    </w:p>
    <w:p w14:paraId="570129C0" w14:textId="77777777" w:rsidR="003C60AC" w:rsidRPr="003C60AC" w:rsidRDefault="003C60AC" w:rsidP="003C60AC">
      <w:pPr>
        <w:tabs>
          <w:tab w:val="left" w:pos="851"/>
        </w:tabs>
        <w:rPr>
          <w:sz w:val="20"/>
          <w:szCs w:val="20"/>
          <w:lang w:bidi="ar-SA"/>
        </w:rPr>
      </w:pPr>
    </w:p>
    <w:p w14:paraId="62AB808B" w14:textId="77777777" w:rsidR="003C60AC" w:rsidRPr="003C60AC" w:rsidRDefault="003C60AC" w:rsidP="003C60AC">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3C60AC">
        <w:rPr>
          <w:b/>
          <w:sz w:val="20"/>
          <w:szCs w:val="20"/>
          <w:lang w:val="en-AU" w:bidi="ar-SA"/>
        </w:rPr>
        <w:t xml:space="preserve">Note:  </w:t>
      </w:r>
    </w:p>
    <w:p w14:paraId="686F2D82" w14:textId="77777777" w:rsidR="003C60AC" w:rsidRPr="003C60AC" w:rsidRDefault="003C60AC" w:rsidP="003C60AC">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0C31CC57" w14:textId="77777777" w:rsidR="003C60AC" w:rsidRPr="003C60AC" w:rsidRDefault="003C60AC" w:rsidP="003C60AC">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3C60AC">
        <w:rPr>
          <w:sz w:val="20"/>
          <w:szCs w:val="20"/>
          <w:lang w:val="en-AU" w:bidi="ar-SA"/>
        </w:rPr>
        <w:t xml:space="preserve">This variation will be published in the Commonwealth of Australia Gazette No. FSC </w:t>
      </w:r>
      <w:r w:rsidRPr="003C60AC">
        <w:rPr>
          <w:color w:val="FF0000"/>
          <w:sz w:val="20"/>
          <w:szCs w:val="20"/>
          <w:lang w:val="en-AU" w:bidi="ar-SA"/>
        </w:rPr>
        <w:t>XX on XX Month 20XX</w:t>
      </w:r>
      <w:r w:rsidRPr="003C60AC">
        <w:rPr>
          <w:sz w:val="20"/>
          <w:szCs w:val="20"/>
          <w:lang w:val="en-AU" w:bidi="ar-SA"/>
        </w:rPr>
        <w:t xml:space="preserve">. This means that this date is the gazettal date for the purposes of clause 3 of the variation. </w:t>
      </w:r>
    </w:p>
    <w:p w14:paraId="6D78DF99" w14:textId="77777777" w:rsidR="003C60AC" w:rsidRPr="003C60AC" w:rsidRDefault="003C60AC" w:rsidP="003C60AC">
      <w:pPr>
        <w:tabs>
          <w:tab w:val="left" w:pos="851"/>
        </w:tabs>
        <w:rPr>
          <w:sz w:val="20"/>
          <w:szCs w:val="20"/>
          <w:lang w:bidi="ar-SA"/>
        </w:rPr>
      </w:pPr>
    </w:p>
    <w:p w14:paraId="5E818704" w14:textId="77777777" w:rsidR="003C60AC" w:rsidRPr="003C60AC" w:rsidRDefault="003C60AC" w:rsidP="0063219C"/>
    <w:p w14:paraId="2F89D819" w14:textId="77777777" w:rsidR="003C60AC" w:rsidRDefault="003C60AC" w:rsidP="003225EA">
      <w:pPr>
        <w:pStyle w:val="FSCDraftingitemheading"/>
        <w:widowControl/>
        <w:rPr>
          <w:i/>
        </w:rPr>
      </w:pPr>
      <w:r>
        <w:rPr>
          <w:i/>
        </w:rPr>
        <w:br w:type="page"/>
      </w:r>
    </w:p>
    <w:p w14:paraId="7CFC2A2F" w14:textId="5E06D594" w:rsidR="000C25CD" w:rsidRPr="00B21422" w:rsidRDefault="007F4561" w:rsidP="0063219C">
      <w:pPr>
        <w:pStyle w:val="FSCDraftingitemheading"/>
      </w:pPr>
      <w:r>
        <w:lastRenderedPageBreak/>
        <w:t>1</w:t>
      </w:r>
      <w:r>
        <w:tab/>
      </w:r>
      <w:r w:rsidR="000C25CD" w:rsidRPr="00B21422">
        <w:t>Name</w:t>
      </w:r>
    </w:p>
    <w:p w14:paraId="70EB3C44" w14:textId="77777777" w:rsidR="000C25CD" w:rsidRPr="00B21422" w:rsidRDefault="000C25CD" w:rsidP="003225EA">
      <w:pPr>
        <w:pStyle w:val="FSCDraftingitem"/>
        <w:rPr>
          <w:i/>
        </w:rPr>
      </w:pPr>
      <w:r w:rsidRPr="0063219C">
        <w:t xml:space="preserve">This instrument is the </w:t>
      </w:r>
      <w:r w:rsidRPr="00B21422">
        <w:rPr>
          <w:i/>
        </w:rPr>
        <w:t>Food Standards (Application A1124 – Alternative DHA-rich Algal Oil for Infant Formula Products) Variation.</w:t>
      </w:r>
    </w:p>
    <w:p w14:paraId="0B73EBD3" w14:textId="77777777" w:rsidR="000C25CD" w:rsidRPr="00B21422" w:rsidRDefault="000C25CD" w:rsidP="0063219C">
      <w:pPr>
        <w:pStyle w:val="FSCDraftingitemheading"/>
      </w:pPr>
      <w:r w:rsidRPr="00B21422">
        <w:t>2</w:t>
      </w:r>
      <w:r w:rsidRPr="00B21422">
        <w:tab/>
        <w:t xml:space="preserve">Variation to standards in the </w:t>
      </w:r>
      <w:r w:rsidRPr="0063219C">
        <w:rPr>
          <w:i/>
        </w:rPr>
        <w:t>Australia New Zealand Food Standards Code</w:t>
      </w:r>
    </w:p>
    <w:p w14:paraId="792ABF83" w14:textId="77777777" w:rsidR="000C25CD" w:rsidRPr="00B21422" w:rsidRDefault="000C25CD" w:rsidP="003225EA">
      <w:pPr>
        <w:pStyle w:val="FSCDraftingitem"/>
        <w:rPr>
          <w:i/>
        </w:rPr>
      </w:pPr>
      <w:r w:rsidRPr="0063219C">
        <w:t xml:space="preserve">The Schedule varies Standards in the </w:t>
      </w:r>
      <w:r w:rsidRPr="00B21422">
        <w:rPr>
          <w:i/>
        </w:rPr>
        <w:t>Australia New Zealand Food Standards Code.</w:t>
      </w:r>
    </w:p>
    <w:p w14:paraId="7801F7D4" w14:textId="77777777" w:rsidR="000C25CD" w:rsidRPr="0063219C" w:rsidRDefault="000C25CD" w:rsidP="0063219C">
      <w:pPr>
        <w:pStyle w:val="FSCDraftingitemheading"/>
      </w:pPr>
      <w:r w:rsidRPr="00B21422">
        <w:t>3</w:t>
      </w:r>
      <w:r w:rsidRPr="00B21422">
        <w:tab/>
        <w:t>Commencement</w:t>
      </w:r>
    </w:p>
    <w:p w14:paraId="7E8D67CA" w14:textId="77777777" w:rsidR="000C25CD" w:rsidRPr="0063219C" w:rsidRDefault="000C25CD" w:rsidP="003225EA">
      <w:pPr>
        <w:pStyle w:val="FSCDraftingitem"/>
      </w:pPr>
      <w:r w:rsidRPr="0063219C">
        <w:t xml:space="preserve">The variation commences on the date of gazettal. </w:t>
      </w:r>
    </w:p>
    <w:p w14:paraId="11D3A041" w14:textId="77777777" w:rsidR="000C25CD" w:rsidRPr="0063219C" w:rsidRDefault="000C25CD" w:rsidP="003225EA">
      <w:pPr>
        <w:widowControl/>
        <w:jc w:val="center"/>
        <w:rPr>
          <w:b/>
          <w:sz w:val="20"/>
        </w:rPr>
      </w:pPr>
      <w:r w:rsidRPr="0063219C">
        <w:rPr>
          <w:b/>
          <w:sz w:val="20"/>
        </w:rPr>
        <w:t>Schedule</w:t>
      </w:r>
    </w:p>
    <w:p w14:paraId="7EB7986E" w14:textId="77777777" w:rsidR="000C25CD" w:rsidRPr="0063219C" w:rsidRDefault="000C25CD" w:rsidP="007F4561">
      <w:pPr>
        <w:pStyle w:val="FSCDraftingitem"/>
      </w:pPr>
      <w:r w:rsidRPr="0063219C">
        <w:rPr>
          <w:b/>
        </w:rPr>
        <w:t>[1]</w:t>
      </w:r>
      <w:r w:rsidRPr="0063219C">
        <w:rPr>
          <w:b/>
        </w:rPr>
        <w:tab/>
        <w:t>Schedule 3</w:t>
      </w:r>
      <w:r w:rsidRPr="00B21422">
        <w:t xml:space="preserve"> is varied by</w:t>
      </w:r>
    </w:p>
    <w:p w14:paraId="645FA45A" w14:textId="1257BF8C" w:rsidR="000C25CD" w:rsidRPr="0063219C" w:rsidRDefault="000C25CD" w:rsidP="007F4561">
      <w:pPr>
        <w:pStyle w:val="FSCDraftingitem"/>
      </w:pPr>
      <w:r w:rsidRPr="0063219C">
        <w:t>[1.1]</w:t>
      </w:r>
      <w:r w:rsidRPr="0063219C">
        <w:tab/>
        <w:t>inserting into</w:t>
      </w:r>
      <w:r w:rsidRPr="00E60456">
        <w:rPr>
          <w:b/>
          <w:i/>
        </w:rPr>
        <w:t xml:space="preserve"> </w:t>
      </w:r>
      <w:r w:rsidRPr="0063219C">
        <w:t>the table to subsection S3—2(2), in alphabetical order</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shows what the proposed draft variation to Schedule 3 will look like "/>
      </w:tblPr>
      <w:tblGrid>
        <w:gridCol w:w="4254"/>
        <w:gridCol w:w="2550"/>
      </w:tblGrid>
      <w:tr w:rsidR="000C25CD" w:rsidRPr="00B21422" w14:paraId="4F8475A3" w14:textId="77777777" w:rsidTr="006A4C10">
        <w:trPr>
          <w:cantSplit/>
          <w:jc w:val="center"/>
        </w:trPr>
        <w:tc>
          <w:tcPr>
            <w:tcW w:w="4254" w:type="dxa"/>
          </w:tcPr>
          <w:p w14:paraId="4430FC38" w14:textId="77777777" w:rsidR="000C25CD" w:rsidRPr="00B21422" w:rsidRDefault="000C25CD" w:rsidP="00005D3C">
            <w:pPr>
              <w:pStyle w:val="FSCtblMain"/>
            </w:pPr>
            <w:r w:rsidRPr="00B21422">
              <w:t xml:space="preserve">oil derived from marine micro-algae </w:t>
            </w:r>
            <w:r w:rsidRPr="0063219C">
              <w:rPr>
                <w:i/>
              </w:rPr>
              <w:t>Schizochytrium</w:t>
            </w:r>
            <w:r w:rsidRPr="00B21422">
              <w:t xml:space="preserve"> sp. (American Type Culture Collection (ATCC) PTA-9695)</w:t>
            </w:r>
          </w:p>
        </w:tc>
        <w:tc>
          <w:tcPr>
            <w:tcW w:w="2550" w:type="dxa"/>
          </w:tcPr>
          <w:p w14:paraId="2648BCEC" w14:textId="4B814FF2" w:rsidR="000C25CD" w:rsidRPr="00B21422" w:rsidRDefault="000C25CD" w:rsidP="006E5C60">
            <w:pPr>
              <w:pStyle w:val="FSCtblMain"/>
            </w:pPr>
            <w:r w:rsidRPr="00B21422">
              <w:t>section S3—</w:t>
            </w:r>
            <w:r w:rsidR="006E5C60" w:rsidRPr="00B21422">
              <w:t>3</w:t>
            </w:r>
            <w:r w:rsidR="006E5C60">
              <w:t>6</w:t>
            </w:r>
          </w:p>
        </w:tc>
      </w:tr>
    </w:tbl>
    <w:p w14:paraId="27A1C821" w14:textId="3AE4C4D7" w:rsidR="000C25CD" w:rsidRPr="00B21422" w:rsidRDefault="000C25CD" w:rsidP="007F4561">
      <w:pPr>
        <w:pStyle w:val="FSCDraftingitem"/>
      </w:pPr>
      <w:r w:rsidRPr="00B21422">
        <w:t>[1.2]</w:t>
      </w:r>
      <w:r w:rsidRPr="00B21422">
        <w:rPr>
          <w:b/>
        </w:rPr>
        <w:tab/>
      </w:r>
      <w:r w:rsidRPr="00B21422">
        <w:t>adding the following after section S3—</w:t>
      </w:r>
      <w:r w:rsidR="006E5C60" w:rsidRPr="00B21422">
        <w:t>3</w:t>
      </w:r>
      <w:r w:rsidR="006E5C60">
        <w:t>5</w:t>
      </w:r>
    </w:p>
    <w:p w14:paraId="048772A2" w14:textId="08DE2CCC" w:rsidR="000C25CD" w:rsidRPr="00B21422" w:rsidRDefault="000C25CD" w:rsidP="0063219C">
      <w:pPr>
        <w:pStyle w:val="FSCh5Section"/>
        <w:rPr>
          <w:szCs w:val="22"/>
          <w:lang w:val="en-AU"/>
        </w:rPr>
      </w:pPr>
      <w:r w:rsidRPr="00B21422">
        <w:rPr>
          <w:szCs w:val="22"/>
          <w:lang w:val="en-AU"/>
        </w:rPr>
        <w:t>S3—</w:t>
      </w:r>
      <w:r w:rsidR="006E5C60" w:rsidRPr="0063219C">
        <w:rPr>
          <w:szCs w:val="22"/>
          <w:lang w:val="en-AU"/>
        </w:rPr>
        <w:t>36</w:t>
      </w:r>
      <w:r w:rsidRPr="00B21422">
        <w:rPr>
          <w:szCs w:val="22"/>
          <w:lang w:val="en-AU"/>
        </w:rPr>
        <w:tab/>
        <w:t xml:space="preserve">Specification </w:t>
      </w:r>
      <w:r w:rsidRPr="00B21422">
        <w:rPr>
          <w:rFonts w:eastAsia="Calibri"/>
          <w:szCs w:val="22"/>
          <w:lang w:val="en-AU"/>
        </w:rPr>
        <w:t xml:space="preserve">for </w:t>
      </w:r>
      <w:r w:rsidRPr="00B21422">
        <w:rPr>
          <w:rFonts w:eastAsia="Calibri"/>
          <w:lang w:val="en-AU"/>
        </w:rPr>
        <w:t xml:space="preserve">oil derived from marine micro-algae </w:t>
      </w:r>
      <w:r w:rsidRPr="0063219C">
        <w:rPr>
          <w:rFonts w:eastAsia="Calibri"/>
          <w:i/>
          <w:lang w:val="en-AU"/>
        </w:rPr>
        <w:t>Schizochytrium</w:t>
      </w:r>
      <w:r w:rsidRPr="00B21422">
        <w:rPr>
          <w:rFonts w:eastAsia="Calibri"/>
          <w:lang w:val="en-AU"/>
        </w:rPr>
        <w:t xml:space="preserve"> sp. (American Type Culture Collection (ATCC) PTA-9695)</w:t>
      </w:r>
      <w:r w:rsidRPr="00B21422">
        <w:rPr>
          <w:lang w:val="en-AU"/>
        </w:rPr>
        <w:t xml:space="preserve"> </w:t>
      </w:r>
    </w:p>
    <w:p w14:paraId="5B455FC1" w14:textId="77777777" w:rsidR="000C25CD" w:rsidRPr="00B21422" w:rsidRDefault="000C25CD" w:rsidP="0063219C">
      <w:pPr>
        <w:pStyle w:val="FSCtMain"/>
        <w:rPr>
          <w:lang w:val="en-AU"/>
        </w:rPr>
      </w:pPr>
      <w:r w:rsidRPr="00B21422">
        <w:rPr>
          <w:lang w:val="en-AU"/>
        </w:rPr>
        <w:tab/>
      </w:r>
      <w:r w:rsidRPr="00B21422">
        <w:rPr>
          <w:lang w:val="en-AU"/>
        </w:rPr>
        <w:tab/>
        <w:t xml:space="preserve">For oil derived from marine micro-algae </w:t>
      </w:r>
      <w:r w:rsidRPr="0063219C">
        <w:rPr>
          <w:i/>
          <w:lang w:val="en-AU"/>
        </w:rPr>
        <w:t>Schizochytrium</w:t>
      </w:r>
      <w:r w:rsidRPr="00B21422">
        <w:rPr>
          <w:lang w:val="en-AU"/>
        </w:rPr>
        <w:t xml:space="preserve"> sp. (American Type Culture Collection (ATCC) PTA-9695), the specifications are the following:</w:t>
      </w:r>
    </w:p>
    <w:p w14:paraId="0F776414" w14:textId="77777777" w:rsidR="000C25CD" w:rsidRPr="0063219C" w:rsidRDefault="000C25CD" w:rsidP="0063219C">
      <w:pPr>
        <w:pStyle w:val="FSCtPara"/>
      </w:pPr>
      <w:r w:rsidRPr="00B21422">
        <w:rPr>
          <w:lang w:val="en-AU"/>
        </w:rPr>
        <w:tab/>
        <w:t>(a)</w:t>
      </w:r>
      <w:r w:rsidRPr="00B21422">
        <w:rPr>
          <w:lang w:val="en-AU"/>
        </w:rPr>
        <w:tab/>
        <w:t>full chemi</w:t>
      </w:r>
      <w:r w:rsidRPr="0063219C">
        <w:t>cal name—4,7,10,13,16,19-docosahexaenoic acid (22:6n-3 DHA);</w:t>
      </w:r>
    </w:p>
    <w:p w14:paraId="72471B7E" w14:textId="77777777" w:rsidR="000C25CD" w:rsidRPr="0063219C" w:rsidRDefault="000C25CD" w:rsidP="0063219C">
      <w:pPr>
        <w:pStyle w:val="FSCtPara"/>
      </w:pPr>
      <w:r w:rsidRPr="0063219C">
        <w:tab/>
        <w:t>(b)</w:t>
      </w:r>
      <w:r w:rsidRPr="0063219C">
        <w:tab/>
        <w:t>DHA (%)—minimum 35;</w:t>
      </w:r>
    </w:p>
    <w:p w14:paraId="2CF6B4E0" w14:textId="77777777" w:rsidR="000C25CD" w:rsidRPr="0063219C" w:rsidRDefault="000C25CD" w:rsidP="0063219C">
      <w:pPr>
        <w:pStyle w:val="FSCtPara"/>
      </w:pPr>
      <w:r w:rsidRPr="0063219C">
        <w:tab/>
        <w:t>(c)</w:t>
      </w:r>
      <w:r w:rsidRPr="0063219C">
        <w:tab/>
        <w:t>EPA (%)—maximum 10;</w:t>
      </w:r>
    </w:p>
    <w:p w14:paraId="0F85B1D8" w14:textId="77777777" w:rsidR="000C25CD" w:rsidRPr="0063219C" w:rsidRDefault="000C25CD" w:rsidP="0063219C">
      <w:pPr>
        <w:pStyle w:val="FSCtPara"/>
      </w:pPr>
      <w:r w:rsidRPr="0063219C">
        <w:tab/>
        <w:t>(d)</w:t>
      </w:r>
      <w:r w:rsidRPr="0063219C">
        <w:tab/>
        <w:t>*trans fatty acids (%)—maximum 2.0;</w:t>
      </w:r>
    </w:p>
    <w:p w14:paraId="1704755A" w14:textId="77777777" w:rsidR="000C25CD" w:rsidRPr="0063219C" w:rsidRDefault="000C25CD" w:rsidP="0063219C">
      <w:pPr>
        <w:pStyle w:val="FSCtPara"/>
      </w:pPr>
      <w:r w:rsidRPr="0063219C">
        <w:tab/>
        <w:t>(e)</w:t>
      </w:r>
      <w:r w:rsidRPr="0063219C">
        <w:tab/>
        <w:t>lead (mg/kg)—maximum 0.1;</w:t>
      </w:r>
    </w:p>
    <w:p w14:paraId="2116B4EB" w14:textId="77777777" w:rsidR="000C25CD" w:rsidRPr="0063219C" w:rsidRDefault="000C25CD" w:rsidP="0063219C">
      <w:pPr>
        <w:pStyle w:val="FSCtPara"/>
      </w:pPr>
      <w:r w:rsidRPr="0063219C">
        <w:tab/>
        <w:t>(f)</w:t>
      </w:r>
      <w:r w:rsidRPr="0063219C">
        <w:tab/>
        <w:t>arsenic (mg/kg)—maximum 0.1;</w:t>
      </w:r>
    </w:p>
    <w:p w14:paraId="7F277030" w14:textId="77777777" w:rsidR="000C25CD" w:rsidRPr="0063219C" w:rsidRDefault="000C25CD" w:rsidP="0063219C">
      <w:pPr>
        <w:pStyle w:val="FSCtPara"/>
      </w:pPr>
      <w:r w:rsidRPr="0063219C">
        <w:tab/>
        <w:t>(g)</w:t>
      </w:r>
      <w:r w:rsidRPr="0063219C">
        <w:tab/>
        <w:t>mercury (mg/kg)—maximum 0.1;</w:t>
      </w:r>
    </w:p>
    <w:p w14:paraId="2707D2F5" w14:textId="4E694721" w:rsidR="000C25CD" w:rsidRPr="00B21422" w:rsidRDefault="000C25CD" w:rsidP="0063219C">
      <w:pPr>
        <w:pStyle w:val="FSCtPara"/>
        <w:rPr>
          <w:lang w:val="en-AU"/>
        </w:rPr>
      </w:pPr>
      <w:r w:rsidRPr="0063219C">
        <w:tab/>
        <w:t>(h)</w:t>
      </w:r>
      <w:r w:rsidRPr="0063219C">
        <w:tab/>
        <w:t>hexane (</w:t>
      </w:r>
      <w:r w:rsidRPr="00B21422">
        <w:rPr>
          <w:lang w:val="en-AU"/>
        </w:rPr>
        <w:t>mg/kg)—maximum 0.3.</w:t>
      </w:r>
    </w:p>
    <w:p w14:paraId="7234BBAC" w14:textId="2472177C" w:rsidR="000C25CD" w:rsidRPr="00B21422" w:rsidRDefault="000C25CD" w:rsidP="007F4561">
      <w:pPr>
        <w:pStyle w:val="FSCDraftingitem"/>
      </w:pPr>
      <w:r w:rsidRPr="00B21422">
        <w:rPr>
          <w:b/>
        </w:rPr>
        <w:t>[2]</w:t>
      </w:r>
      <w:r w:rsidRPr="00B21422">
        <w:rPr>
          <w:b/>
        </w:rPr>
        <w:tab/>
        <w:t>Schedule 25</w:t>
      </w:r>
      <w:r w:rsidRPr="00B21422">
        <w:t xml:space="preserve"> is varied by inserting into the table to section S25—2, in alphabetical order</w:t>
      </w:r>
    </w:p>
    <w:tbl>
      <w:tblPr>
        <w:tblW w:w="9072" w:type="dxa"/>
        <w:jc w:val="center"/>
        <w:tblLook w:val="04A0" w:firstRow="1" w:lastRow="0" w:firstColumn="1" w:lastColumn="0" w:noHBand="0" w:noVBand="1"/>
      </w:tblPr>
      <w:tblGrid>
        <w:gridCol w:w="2836"/>
        <w:gridCol w:w="6236"/>
      </w:tblGrid>
      <w:tr w:rsidR="000C25CD" w:rsidRPr="00B21422" w14:paraId="0033ED8C" w14:textId="77777777" w:rsidTr="006A4C10">
        <w:trPr>
          <w:cantSplit/>
          <w:jc w:val="center"/>
        </w:trPr>
        <w:tc>
          <w:tcPr>
            <w:tcW w:w="2836" w:type="dxa"/>
          </w:tcPr>
          <w:p w14:paraId="6C1097F0" w14:textId="77777777" w:rsidR="000C25CD" w:rsidRPr="00B21422" w:rsidRDefault="000C25CD">
            <w:pPr>
              <w:pStyle w:val="FSCtblMain"/>
            </w:pPr>
            <w:r w:rsidRPr="00B21422">
              <w:t xml:space="preserve">Oil derived from marine micro-algae </w:t>
            </w:r>
            <w:r w:rsidRPr="0063219C">
              <w:rPr>
                <w:i/>
              </w:rPr>
              <w:t>Schizochytrium</w:t>
            </w:r>
            <w:r w:rsidRPr="00B21422">
              <w:t xml:space="preserve"> sp. (American Type Culture Collection (ATCC) PTA-9695)</w:t>
            </w:r>
          </w:p>
        </w:tc>
        <w:tc>
          <w:tcPr>
            <w:tcW w:w="6236" w:type="dxa"/>
          </w:tcPr>
          <w:p w14:paraId="53A1C5F3" w14:textId="4B70C533" w:rsidR="000C25CD" w:rsidRPr="00B21422" w:rsidRDefault="000C25CD">
            <w:pPr>
              <w:pStyle w:val="FSCtblPara"/>
            </w:pPr>
            <w:r w:rsidRPr="00B21422">
              <w:t>1.</w:t>
            </w:r>
            <w:r w:rsidRPr="00B21422">
              <w:tab/>
              <w:t>May only be added to infant formula products in accordance with Standard 2.9.1.</w:t>
            </w:r>
          </w:p>
        </w:tc>
      </w:tr>
    </w:tbl>
    <w:p w14:paraId="632CC769" w14:textId="77777777" w:rsidR="000C25CD" w:rsidRPr="00B21422" w:rsidRDefault="000C25CD" w:rsidP="003225EA">
      <w:pPr>
        <w:widowControl/>
        <w:spacing w:before="120" w:after="120"/>
        <w:jc w:val="right"/>
        <w:rPr>
          <w:i/>
          <w:lang w:bidi="ar-SA"/>
        </w:rPr>
      </w:pPr>
    </w:p>
    <w:p w14:paraId="47EADFC9" w14:textId="77777777" w:rsidR="000C25CD" w:rsidRPr="00B21422" w:rsidRDefault="000C25CD" w:rsidP="003225EA">
      <w:pPr>
        <w:widowControl/>
        <w:rPr>
          <w:i/>
          <w:noProof/>
          <w:sz w:val="20"/>
          <w:lang w:eastAsia="en-AU"/>
        </w:rPr>
      </w:pPr>
      <w:r w:rsidRPr="00B21422">
        <w:rPr>
          <w:i/>
        </w:rPr>
        <w:br w:type="page"/>
      </w:r>
    </w:p>
    <w:p w14:paraId="36A9EDCA" w14:textId="6AFE2A88" w:rsidR="00456BD5" w:rsidRPr="00F91180" w:rsidRDefault="005E06C0" w:rsidP="003225EA">
      <w:pPr>
        <w:pStyle w:val="Heading2"/>
        <w:widowControl/>
        <w:ind w:left="0" w:firstLine="0"/>
      </w:pPr>
      <w:bookmarkStart w:id="142" w:name="_Toc473297194"/>
      <w:bookmarkStart w:id="143" w:name="_Toc474759492"/>
      <w:r w:rsidRPr="000C25CD">
        <w:lastRenderedPageBreak/>
        <w:t xml:space="preserve">Attachment B – </w:t>
      </w:r>
      <w:r w:rsidR="00456BD5" w:rsidRPr="000C25CD">
        <w:t>Explanatory Statement</w:t>
      </w:r>
      <w:bookmarkEnd w:id="142"/>
      <w:bookmarkEnd w:id="143"/>
    </w:p>
    <w:p w14:paraId="30144004" w14:textId="77777777" w:rsidR="00456BD5" w:rsidRPr="000C25CD" w:rsidRDefault="00456BD5" w:rsidP="003225EA">
      <w:pPr>
        <w:widowControl/>
        <w:rPr>
          <w:b/>
          <w:lang w:val="en-AU" w:eastAsia="en-GB" w:bidi="ar-SA"/>
        </w:rPr>
      </w:pPr>
      <w:r w:rsidRPr="000C25CD">
        <w:rPr>
          <w:b/>
          <w:lang w:val="en-AU" w:eastAsia="en-GB" w:bidi="ar-SA"/>
        </w:rPr>
        <w:t>1.</w:t>
      </w:r>
      <w:r w:rsidRPr="000C25CD">
        <w:rPr>
          <w:b/>
          <w:lang w:val="en-AU" w:eastAsia="en-GB" w:bidi="ar-SA"/>
        </w:rPr>
        <w:tab/>
        <w:t>Authority</w:t>
      </w:r>
    </w:p>
    <w:p w14:paraId="13E8A6EF" w14:textId="77777777" w:rsidR="00456BD5" w:rsidRPr="00834C22" w:rsidRDefault="00456BD5" w:rsidP="00C63CE5">
      <w:pPr>
        <w:rPr>
          <w:lang w:val="en-AU" w:eastAsia="en-GB" w:bidi="ar-SA"/>
        </w:rPr>
      </w:pPr>
    </w:p>
    <w:p w14:paraId="5F58CB41" w14:textId="77777777" w:rsidR="00456BD5" w:rsidRPr="00C63CE5" w:rsidRDefault="00456BD5" w:rsidP="00C63CE5">
      <w:pPr>
        <w:rPr>
          <w:rFonts w:eastAsia="Calibri" w:cs="Arial"/>
          <w:bCs/>
          <w:szCs w:val="22"/>
          <w:lang w:val="en-AU" w:bidi="ar-SA"/>
        </w:rPr>
      </w:pPr>
      <w:r w:rsidRPr="00C63CE5">
        <w:rPr>
          <w:rFonts w:eastAsia="Calibri" w:cs="Arial"/>
          <w:bCs/>
          <w:szCs w:val="22"/>
          <w:lang w:val="en-AU" w:bidi="ar-SA"/>
        </w:rPr>
        <w:t xml:space="preserve">Section 13 of the </w:t>
      </w:r>
      <w:r w:rsidRPr="00834C22">
        <w:rPr>
          <w:rFonts w:eastAsia="Calibri" w:cs="Arial"/>
          <w:bCs/>
          <w:i/>
          <w:szCs w:val="22"/>
          <w:lang w:val="en-AU" w:bidi="ar-SA"/>
        </w:rPr>
        <w:t>Food Standards Australia New Zealand Act 1991</w:t>
      </w:r>
      <w:r w:rsidRPr="00C63CE5">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834C22">
        <w:rPr>
          <w:rFonts w:eastAsia="Calibri" w:cs="Arial"/>
          <w:bCs/>
          <w:i/>
          <w:szCs w:val="22"/>
          <w:lang w:val="en-AU" w:bidi="ar-SA"/>
        </w:rPr>
        <w:t>Australia New Zealand Food Standards Code</w:t>
      </w:r>
      <w:r w:rsidRPr="00C63CE5">
        <w:rPr>
          <w:rFonts w:eastAsia="Calibri" w:cs="Arial"/>
          <w:bCs/>
          <w:szCs w:val="22"/>
          <w:lang w:val="en-AU" w:bidi="ar-SA"/>
        </w:rPr>
        <w:t xml:space="preserve"> (the Code).</w:t>
      </w:r>
    </w:p>
    <w:p w14:paraId="6C7A71CC" w14:textId="77777777" w:rsidR="00456BD5" w:rsidRPr="00C63CE5" w:rsidRDefault="00456BD5" w:rsidP="00C63CE5">
      <w:pPr>
        <w:rPr>
          <w:rFonts w:eastAsia="Calibri" w:cs="Arial"/>
          <w:bCs/>
          <w:szCs w:val="22"/>
          <w:lang w:val="en-AU" w:bidi="ar-SA"/>
        </w:rPr>
      </w:pPr>
    </w:p>
    <w:p w14:paraId="306CA29C" w14:textId="77777777" w:rsidR="00456BD5" w:rsidRPr="00C63CE5" w:rsidRDefault="00456BD5" w:rsidP="00C63CE5">
      <w:pPr>
        <w:rPr>
          <w:rFonts w:eastAsia="Calibri" w:cs="Arial"/>
          <w:bCs/>
          <w:szCs w:val="22"/>
          <w:lang w:val="en-AU" w:bidi="ar-SA"/>
        </w:rPr>
      </w:pPr>
      <w:r w:rsidRPr="00C63CE5">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2A70C1E" w14:textId="77777777" w:rsidR="00456BD5" w:rsidRPr="00C63CE5" w:rsidRDefault="00456BD5" w:rsidP="00C63CE5">
      <w:pPr>
        <w:rPr>
          <w:rFonts w:eastAsia="Calibri" w:cs="Arial"/>
          <w:bCs/>
          <w:szCs w:val="22"/>
          <w:lang w:val="en-AU" w:bidi="ar-SA"/>
        </w:rPr>
      </w:pPr>
    </w:p>
    <w:p w14:paraId="00A98FC2" w14:textId="1ADA67A2" w:rsidR="00082C7E" w:rsidRPr="00C63CE5" w:rsidRDefault="00082C7E" w:rsidP="00C63CE5">
      <w:pPr>
        <w:rPr>
          <w:rFonts w:eastAsia="Calibri" w:cs="Arial"/>
          <w:bCs/>
          <w:szCs w:val="22"/>
          <w:lang w:bidi="ar-SA"/>
        </w:rPr>
      </w:pPr>
      <w:r w:rsidRPr="00C63CE5">
        <w:rPr>
          <w:rFonts w:eastAsia="Calibri" w:cs="Arial"/>
          <w:bCs/>
          <w:szCs w:val="22"/>
          <w:lang w:bidi="ar-SA"/>
        </w:rPr>
        <w:t xml:space="preserve">FSANZ accepted Application A1124 which seeks to permit the addition of DHA-rich algal oil from Schizochytrium sp. </w:t>
      </w:r>
      <w:r w:rsidRPr="00C63CE5">
        <w:t xml:space="preserve">(American Type Culture Collection (ATCC) PTA-9695) </w:t>
      </w:r>
      <w:r w:rsidRPr="00C63CE5">
        <w:rPr>
          <w:rFonts w:eastAsia="Calibri" w:cs="Arial"/>
          <w:bCs/>
          <w:szCs w:val="22"/>
          <w:lang w:bidi="ar-SA"/>
        </w:rPr>
        <w:t xml:space="preserve">as an </w:t>
      </w:r>
      <w:r w:rsidR="007247F3" w:rsidRPr="00C63CE5">
        <w:rPr>
          <w:rFonts w:eastAsia="Calibri" w:cs="Arial"/>
          <w:bCs/>
          <w:szCs w:val="22"/>
          <w:lang w:bidi="ar-SA"/>
        </w:rPr>
        <w:t xml:space="preserve">additional or </w:t>
      </w:r>
      <w:r w:rsidRPr="00C63CE5">
        <w:rPr>
          <w:rFonts w:eastAsia="Calibri" w:cs="Arial"/>
          <w:bCs/>
          <w:szCs w:val="22"/>
          <w:lang w:bidi="ar-SA"/>
        </w:rPr>
        <w:t xml:space="preserve">alternative </w:t>
      </w:r>
      <w:r w:rsidR="007247F3" w:rsidRPr="00C63CE5">
        <w:rPr>
          <w:rFonts w:eastAsia="Calibri" w:cs="Arial"/>
          <w:bCs/>
          <w:szCs w:val="22"/>
          <w:lang w:bidi="ar-SA"/>
        </w:rPr>
        <w:t xml:space="preserve">source of DHA oil </w:t>
      </w:r>
      <w:r w:rsidRPr="00C63CE5">
        <w:rPr>
          <w:rFonts w:eastAsia="Calibri" w:cs="Arial"/>
          <w:bCs/>
          <w:szCs w:val="22"/>
          <w:lang w:bidi="ar-SA"/>
        </w:rPr>
        <w:t xml:space="preserve">for other currently permitted DHA-rich algal oils added to infant formula products. </w:t>
      </w:r>
    </w:p>
    <w:p w14:paraId="03FCBD87" w14:textId="77777777" w:rsidR="00082C7E" w:rsidRPr="00C63CE5" w:rsidRDefault="00082C7E" w:rsidP="00C63CE5">
      <w:pPr>
        <w:rPr>
          <w:rFonts w:eastAsia="Calibri" w:cs="Arial"/>
          <w:bCs/>
          <w:szCs w:val="22"/>
          <w:lang w:bidi="ar-SA"/>
        </w:rPr>
      </w:pPr>
    </w:p>
    <w:p w14:paraId="11FF926E" w14:textId="77777777" w:rsidR="00082C7E" w:rsidRPr="00C63CE5" w:rsidRDefault="00082C7E" w:rsidP="00C63CE5">
      <w:pPr>
        <w:rPr>
          <w:rFonts w:eastAsia="Calibri" w:cs="Arial"/>
          <w:bCs/>
          <w:szCs w:val="22"/>
          <w:lang w:bidi="ar-SA"/>
        </w:rPr>
      </w:pPr>
      <w:r w:rsidRPr="00C63CE5">
        <w:rPr>
          <w:rFonts w:eastAsia="Calibri" w:cs="Arial"/>
          <w:bCs/>
          <w:szCs w:val="22"/>
          <w:lang w:bidi="ar-SA"/>
        </w:rPr>
        <w:t xml:space="preserve">The Authority considered the Application in accordance with Division 1 of Part 3 and has prepared </w:t>
      </w:r>
      <w:r w:rsidRPr="00C63CE5">
        <w:t xml:space="preserve">a draft variation setting out amendments to Schedule 3 and Schedule 25. </w:t>
      </w:r>
    </w:p>
    <w:p w14:paraId="2F4FBEB1" w14:textId="77777777" w:rsidR="00082C7E" w:rsidRPr="00C63CE5" w:rsidRDefault="00082C7E" w:rsidP="00C63CE5">
      <w:pPr>
        <w:rPr>
          <w:rFonts w:eastAsia="Calibri" w:cs="Arial"/>
          <w:bCs/>
          <w:szCs w:val="22"/>
          <w:lang w:val="en-AU" w:bidi="ar-SA"/>
        </w:rPr>
      </w:pPr>
    </w:p>
    <w:p w14:paraId="00B9EC5D" w14:textId="77777777" w:rsidR="00456BD5" w:rsidRPr="00C63CE5" w:rsidRDefault="00456BD5" w:rsidP="00C63CE5">
      <w:pPr>
        <w:rPr>
          <w:rFonts w:eastAsia="Calibri" w:cs="Arial"/>
          <w:bCs/>
          <w:szCs w:val="22"/>
          <w:lang w:val="en-AU" w:bidi="ar-SA"/>
        </w:rPr>
      </w:pPr>
      <w:r w:rsidRPr="00C63CE5">
        <w:rPr>
          <w:rFonts w:eastAsia="Calibri" w:cs="Arial"/>
          <w:bCs/>
          <w:szCs w:val="22"/>
          <w:lang w:val="en-AU" w:bidi="ar-SA"/>
        </w:rPr>
        <w:t xml:space="preserve">Following consideration by the </w:t>
      </w:r>
      <w:r w:rsidRPr="00C63CE5">
        <w:rPr>
          <w:rFonts w:cs="Helvetica"/>
          <w:lang w:val="en-AU"/>
        </w:rPr>
        <w:t xml:space="preserve">Australia and New Zealand Ministerial Forum on Food </w:t>
      </w:r>
      <w:r w:rsidRPr="00C63CE5">
        <w:rPr>
          <w:rFonts w:cs="Arial"/>
        </w:rPr>
        <w:t>Regulation</w:t>
      </w:r>
      <w:r w:rsidRPr="00C63CE5">
        <w:rPr>
          <w:rFonts w:eastAsia="Calibri" w:cs="Arial"/>
          <w:bCs/>
          <w:szCs w:val="22"/>
          <w:lang w:val="en-AU" w:bidi="ar-SA"/>
        </w:rPr>
        <w:t xml:space="preserve">, section 92 of the FSANZ Act stipulates that the Authority must publish a notice about the standard or draft variation of a standard. </w:t>
      </w:r>
    </w:p>
    <w:p w14:paraId="77AD6B8C" w14:textId="77777777" w:rsidR="00456BD5" w:rsidRPr="00C63CE5" w:rsidRDefault="00456BD5" w:rsidP="00C63CE5">
      <w:pPr>
        <w:rPr>
          <w:rFonts w:eastAsia="Calibri" w:cs="Arial"/>
          <w:bCs/>
          <w:szCs w:val="22"/>
          <w:lang w:val="en-AU" w:bidi="ar-SA"/>
        </w:rPr>
      </w:pPr>
    </w:p>
    <w:p w14:paraId="5303C9CD" w14:textId="77777777" w:rsidR="00456BD5" w:rsidRPr="00C63CE5" w:rsidRDefault="00456BD5" w:rsidP="00C63CE5">
      <w:pPr>
        <w:rPr>
          <w:rFonts w:eastAsia="Calibri" w:cs="Arial"/>
          <w:szCs w:val="22"/>
          <w:lang w:val="en-AU" w:bidi="ar-SA"/>
        </w:rPr>
      </w:pPr>
      <w:r w:rsidRPr="00C63CE5">
        <w:rPr>
          <w:rFonts w:eastAsia="Calibri" w:cs="Arial"/>
          <w:bCs/>
          <w:szCs w:val="22"/>
          <w:lang w:val="en-AU" w:bidi="ar-SA"/>
        </w:rPr>
        <w:t>Section 94 of the FSANZ Act specifies that a</w:t>
      </w:r>
      <w:r w:rsidRPr="00C63CE5">
        <w:rPr>
          <w:rFonts w:eastAsia="Calibri" w:cs="Arial"/>
          <w:szCs w:val="22"/>
          <w:lang w:val="en-AU" w:bidi="ar-SA"/>
        </w:rPr>
        <w:t xml:space="preserve"> standard, or a variation of a standard, in relation to which a notice is published under section 92 is a legislative instrument, but is not subject to parliamentary disallowance or sunsetting under the Legislati</w:t>
      </w:r>
      <w:r w:rsidR="00856712" w:rsidRPr="00C63CE5">
        <w:rPr>
          <w:rFonts w:eastAsia="Calibri" w:cs="Arial"/>
          <w:szCs w:val="22"/>
          <w:lang w:val="en-AU" w:bidi="ar-SA"/>
        </w:rPr>
        <w:t xml:space="preserve">on </w:t>
      </w:r>
      <w:r w:rsidRPr="00C63CE5">
        <w:rPr>
          <w:rFonts w:eastAsia="Calibri" w:cs="Arial"/>
          <w:szCs w:val="22"/>
          <w:lang w:val="en-AU" w:bidi="ar-SA"/>
        </w:rPr>
        <w:t>Act 2003.</w:t>
      </w:r>
    </w:p>
    <w:p w14:paraId="5361B116" w14:textId="77777777" w:rsidR="00456BD5" w:rsidRPr="00C63CE5" w:rsidRDefault="00456BD5" w:rsidP="00C63CE5">
      <w:pPr>
        <w:rPr>
          <w:lang w:val="en-AU" w:eastAsia="en-GB" w:bidi="ar-SA"/>
        </w:rPr>
      </w:pPr>
    </w:p>
    <w:p w14:paraId="75643426" w14:textId="77777777" w:rsidR="00082C7E" w:rsidRPr="00491887" w:rsidRDefault="00082C7E" w:rsidP="003225EA">
      <w:pPr>
        <w:widowControl/>
        <w:rPr>
          <w:b/>
          <w:lang w:eastAsia="en-GB" w:bidi="ar-SA"/>
        </w:rPr>
      </w:pPr>
      <w:r w:rsidRPr="00491887">
        <w:rPr>
          <w:b/>
          <w:lang w:eastAsia="en-GB" w:bidi="ar-SA"/>
        </w:rPr>
        <w:t>2.</w:t>
      </w:r>
      <w:r w:rsidRPr="00491887">
        <w:rPr>
          <w:b/>
          <w:lang w:eastAsia="en-GB" w:bidi="ar-SA"/>
        </w:rPr>
        <w:tab/>
        <w:t xml:space="preserve">Purpose </w:t>
      </w:r>
    </w:p>
    <w:p w14:paraId="20319A35" w14:textId="77777777" w:rsidR="00082C7E" w:rsidRPr="008D0F6D" w:rsidRDefault="00082C7E" w:rsidP="003225EA">
      <w:pPr>
        <w:widowControl/>
        <w:rPr>
          <w:i/>
          <w:lang w:eastAsia="en-GB" w:bidi="ar-SA"/>
        </w:rPr>
      </w:pPr>
    </w:p>
    <w:p w14:paraId="29F5953C" w14:textId="038F5FB7" w:rsidR="00082C7E" w:rsidRPr="008D0F6D" w:rsidRDefault="00082C7E" w:rsidP="00C63CE5">
      <w:r w:rsidRPr="008D0F6D">
        <w:rPr>
          <w:szCs w:val="22"/>
        </w:rPr>
        <w:t xml:space="preserve">The purpose of the draft variation is to permit the voluntary use of </w:t>
      </w:r>
      <w:r w:rsidRPr="008D0F6D">
        <w:t xml:space="preserve">oil derived from marine micro-algae </w:t>
      </w:r>
      <w:r w:rsidRPr="00C63CE5">
        <w:rPr>
          <w:i/>
        </w:rPr>
        <w:t>Schizochytrium</w:t>
      </w:r>
      <w:r w:rsidRPr="008D0F6D">
        <w:t xml:space="preserve"> sp. (American Type Culture Collection (ATCC) PTA-9695) as a source of DHA</w:t>
      </w:r>
      <w:r w:rsidR="00C60C01">
        <w:t xml:space="preserve"> </w:t>
      </w:r>
      <w:r w:rsidRPr="008D0F6D">
        <w:t xml:space="preserve">in infant formula products. </w:t>
      </w:r>
    </w:p>
    <w:p w14:paraId="71036DF1" w14:textId="77777777" w:rsidR="00456BD5" w:rsidRPr="008D0F6D" w:rsidRDefault="00456BD5" w:rsidP="003225EA">
      <w:pPr>
        <w:widowControl/>
        <w:rPr>
          <w:i/>
          <w:lang w:val="en-AU" w:eastAsia="en-GB" w:bidi="ar-SA"/>
        </w:rPr>
      </w:pPr>
    </w:p>
    <w:p w14:paraId="2B9DB1E2" w14:textId="77777777" w:rsidR="00456BD5" w:rsidRPr="00491887" w:rsidRDefault="00456BD5" w:rsidP="003225EA">
      <w:pPr>
        <w:widowControl/>
        <w:rPr>
          <w:b/>
          <w:lang w:val="en-AU" w:eastAsia="en-GB" w:bidi="ar-SA"/>
        </w:rPr>
      </w:pPr>
      <w:r w:rsidRPr="00491887">
        <w:rPr>
          <w:b/>
          <w:lang w:val="en-AU" w:eastAsia="en-GB" w:bidi="ar-SA"/>
        </w:rPr>
        <w:t>3.</w:t>
      </w:r>
      <w:r w:rsidRPr="00491887">
        <w:rPr>
          <w:b/>
          <w:lang w:val="en-AU" w:eastAsia="en-GB" w:bidi="ar-SA"/>
        </w:rPr>
        <w:tab/>
        <w:t>Documents incorporated by reference</w:t>
      </w:r>
    </w:p>
    <w:p w14:paraId="5BBE0431" w14:textId="77777777" w:rsidR="00456BD5" w:rsidRPr="008D0F6D" w:rsidRDefault="00456BD5" w:rsidP="00C63CE5">
      <w:pPr>
        <w:rPr>
          <w:lang w:val="en-AU" w:eastAsia="en-GB" w:bidi="ar-SA"/>
        </w:rPr>
      </w:pPr>
    </w:p>
    <w:p w14:paraId="23B3A485" w14:textId="77777777" w:rsidR="00456BD5" w:rsidRPr="008D0F6D" w:rsidRDefault="00456BD5" w:rsidP="00C63CE5">
      <w:pPr>
        <w:rPr>
          <w:rFonts w:eastAsia="Calibri" w:cs="Arial"/>
          <w:bCs/>
          <w:szCs w:val="22"/>
          <w:lang w:val="en-AU" w:bidi="ar-SA"/>
        </w:rPr>
      </w:pPr>
      <w:r w:rsidRPr="008D0F6D">
        <w:rPr>
          <w:rFonts w:eastAsia="Calibri" w:cs="Arial"/>
          <w:bCs/>
          <w:szCs w:val="22"/>
          <w:lang w:val="en-AU" w:bidi="ar-SA"/>
        </w:rPr>
        <w:t>The variations to food regulatory measures do not incorporate any documents by reference.</w:t>
      </w:r>
    </w:p>
    <w:p w14:paraId="3DBB3831" w14:textId="77777777" w:rsidR="00456BD5" w:rsidRPr="008D0F6D" w:rsidRDefault="00456BD5" w:rsidP="00C63CE5">
      <w:pPr>
        <w:rPr>
          <w:lang w:val="en-AU" w:eastAsia="en-GB" w:bidi="ar-SA"/>
        </w:rPr>
      </w:pPr>
    </w:p>
    <w:p w14:paraId="52677A47" w14:textId="77777777" w:rsidR="00456BD5" w:rsidRPr="00491887" w:rsidRDefault="00456BD5" w:rsidP="003225EA">
      <w:pPr>
        <w:widowControl/>
        <w:rPr>
          <w:b/>
          <w:lang w:val="en-AU" w:eastAsia="en-GB" w:bidi="ar-SA"/>
        </w:rPr>
      </w:pPr>
      <w:r w:rsidRPr="00491887">
        <w:rPr>
          <w:b/>
          <w:lang w:val="en-AU" w:eastAsia="en-GB" w:bidi="ar-SA"/>
        </w:rPr>
        <w:t>4.</w:t>
      </w:r>
      <w:r w:rsidRPr="00491887">
        <w:rPr>
          <w:b/>
          <w:lang w:val="en-AU" w:eastAsia="en-GB" w:bidi="ar-SA"/>
        </w:rPr>
        <w:tab/>
        <w:t>Consultation</w:t>
      </w:r>
    </w:p>
    <w:p w14:paraId="66CAE4C2" w14:textId="77777777" w:rsidR="00456BD5" w:rsidRPr="008D0F6D" w:rsidRDefault="00456BD5" w:rsidP="00C63CE5">
      <w:pPr>
        <w:rPr>
          <w:lang w:val="en-AU" w:eastAsia="en-GB" w:bidi="ar-SA"/>
        </w:rPr>
      </w:pPr>
    </w:p>
    <w:p w14:paraId="10B6E70F" w14:textId="2097717E" w:rsidR="00456BD5" w:rsidRPr="008D0F6D" w:rsidRDefault="00456BD5" w:rsidP="00C63CE5">
      <w:pPr>
        <w:rPr>
          <w:lang w:val="en-AU"/>
        </w:rPr>
      </w:pPr>
      <w:r w:rsidRPr="008D0F6D">
        <w:rPr>
          <w:szCs w:val="22"/>
        </w:rPr>
        <w:t xml:space="preserve">In accordance with the procedure in Division </w:t>
      </w:r>
      <w:r w:rsidR="00082C7E" w:rsidRPr="008D0F6D">
        <w:rPr>
          <w:szCs w:val="22"/>
        </w:rPr>
        <w:t>1</w:t>
      </w:r>
      <w:r w:rsidRPr="008D0F6D">
        <w:rPr>
          <w:szCs w:val="22"/>
        </w:rPr>
        <w:t xml:space="preserve"> of Part </w:t>
      </w:r>
      <w:r w:rsidR="00082C7E" w:rsidRPr="008D0F6D">
        <w:rPr>
          <w:szCs w:val="22"/>
        </w:rPr>
        <w:t>3</w:t>
      </w:r>
      <w:r w:rsidRPr="008D0F6D">
        <w:rPr>
          <w:szCs w:val="22"/>
        </w:rPr>
        <w:t xml:space="preserve"> of the FSANZ Act, </w:t>
      </w:r>
      <w:r w:rsidRPr="008D0F6D">
        <w:rPr>
          <w:rFonts w:eastAsia="Calibri" w:cs="Arial"/>
          <w:bCs/>
          <w:szCs w:val="22"/>
          <w:lang w:val="en-AU" w:bidi="ar-SA"/>
        </w:rPr>
        <w:t>the Authority</w:t>
      </w:r>
      <w:r w:rsidRPr="008D0F6D">
        <w:rPr>
          <w:szCs w:val="22"/>
        </w:rPr>
        <w:t xml:space="preserve">’s consideration of </w:t>
      </w:r>
      <w:r w:rsidR="00082C7E" w:rsidRPr="008D0F6D">
        <w:rPr>
          <w:szCs w:val="22"/>
        </w:rPr>
        <w:t>Application A1124</w:t>
      </w:r>
      <w:r w:rsidRPr="008D0F6D">
        <w:rPr>
          <w:szCs w:val="22"/>
        </w:rPr>
        <w:t xml:space="preserve"> included one round of public consultation following an assessment and the preparation of a draft </w:t>
      </w:r>
      <w:r w:rsidR="00834C22">
        <w:rPr>
          <w:szCs w:val="22"/>
        </w:rPr>
        <w:t>variation</w:t>
      </w:r>
      <w:r w:rsidR="00834C22" w:rsidRPr="008D0F6D">
        <w:rPr>
          <w:szCs w:val="22"/>
        </w:rPr>
        <w:t xml:space="preserve"> </w:t>
      </w:r>
      <w:r w:rsidRPr="008D0F6D">
        <w:rPr>
          <w:szCs w:val="22"/>
        </w:rPr>
        <w:t xml:space="preserve">and associated </w:t>
      </w:r>
      <w:r w:rsidR="00082C7E" w:rsidRPr="008D0F6D">
        <w:rPr>
          <w:szCs w:val="22"/>
        </w:rPr>
        <w:t xml:space="preserve">assessment summary. </w:t>
      </w:r>
      <w:r w:rsidRPr="008D0F6D">
        <w:rPr>
          <w:szCs w:val="22"/>
        </w:rPr>
        <w:t xml:space="preserve">Submissions were called for on </w:t>
      </w:r>
      <w:r w:rsidR="00497952" w:rsidRPr="008D0F6D">
        <w:rPr>
          <w:szCs w:val="22"/>
        </w:rPr>
        <w:t xml:space="preserve">1 November </w:t>
      </w:r>
      <w:r w:rsidRPr="008D0F6D">
        <w:rPr>
          <w:szCs w:val="22"/>
        </w:rPr>
        <w:t>201</w:t>
      </w:r>
      <w:r w:rsidR="00497952" w:rsidRPr="008D0F6D">
        <w:rPr>
          <w:szCs w:val="22"/>
        </w:rPr>
        <w:t>6</w:t>
      </w:r>
      <w:r w:rsidRPr="008D0F6D">
        <w:rPr>
          <w:szCs w:val="22"/>
        </w:rPr>
        <w:t xml:space="preserve"> for a six-week consultation period. </w:t>
      </w:r>
    </w:p>
    <w:p w14:paraId="26F032F2" w14:textId="77777777" w:rsidR="00456BD5" w:rsidRPr="008D0F6D" w:rsidRDefault="00456BD5" w:rsidP="00C63CE5">
      <w:pPr>
        <w:rPr>
          <w:rFonts w:eastAsia="Calibri"/>
          <w:szCs w:val="22"/>
          <w:lang w:val="en-AU" w:bidi="ar-SA"/>
        </w:rPr>
      </w:pPr>
    </w:p>
    <w:p w14:paraId="7A5AD998" w14:textId="57F6357E" w:rsidR="00491887" w:rsidRDefault="00456BD5" w:rsidP="00C63CE5">
      <w:pPr>
        <w:rPr>
          <w:rFonts w:eastAsiaTheme="minorHAnsi"/>
          <w:b/>
          <w:lang w:val="en-AU"/>
        </w:rPr>
      </w:pPr>
      <w:r w:rsidRPr="008D0F6D">
        <w:rPr>
          <w:rFonts w:eastAsia="Calibri" w:cs="Arial"/>
          <w:bCs/>
          <w:szCs w:val="22"/>
          <w:lang w:val="en-AU" w:bidi="ar-SA"/>
        </w:rPr>
        <w:t xml:space="preserve">A Regulation Impact Statement was not required because the variations </w:t>
      </w:r>
      <w:r w:rsidR="00497952" w:rsidRPr="008D0F6D">
        <w:rPr>
          <w:rFonts w:eastAsia="Calibri" w:cs="Arial"/>
          <w:bCs/>
          <w:szCs w:val="22"/>
          <w:lang w:val="en-AU" w:bidi="ar-SA"/>
        </w:rPr>
        <w:t>proposed</w:t>
      </w:r>
      <w:r w:rsidR="00497952" w:rsidRPr="008D0F6D">
        <w:t xml:space="preserve"> </w:t>
      </w:r>
      <w:r w:rsidRPr="008D0F6D">
        <w:t xml:space="preserve">are </w:t>
      </w:r>
      <w:r w:rsidR="00497952" w:rsidRPr="008D0F6D">
        <w:t xml:space="preserve">voluntary and </w:t>
      </w:r>
      <w:r w:rsidRPr="008D0F6D">
        <w:t xml:space="preserve">likely to have a minor impact on business and individuals. </w:t>
      </w:r>
    </w:p>
    <w:p w14:paraId="32E03444" w14:textId="77777777" w:rsidR="00456BD5" w:rsidRDefault="00456BD5" w:rsidP="00C63CE5">
      <w:pPr>
        <w:rPr>
          <w:rFonts w:eastAsiaTheme="minorHAnsi"/>
          <w:b/>
          <w:lang w:val="en-AU"/>
        </w:rPr>
      </w:pPr>
    </w:p>
    <w:p w14:paraId="0A5A9AA0" w14:textId="77777777" w:rsidR="00456BD5" w:rsidRPr="00491887" w:rsidRDefault="00456BD5" w:rsidP="00491887">
      <w:pPr>
        <w:rPr>
          <w:rFonts w:eastAsiaTheme="minorHAnsi" w:cs="Arial"/>
          <w:b/>
          <w:bCs/>
          <w:szCs w:val="22"/>
          <w:lang w:val="en-AU" w:bidi="ar-SA"/>
        </w:rPr>
      </w:pPr>
      <w:r w:rsidRPr="00491887">
        <w:rPr>
          <w:rFonts w:eastAsiaTheme="minorHAnsi" w:cs="Arial"/>
          <w:b/>
          <w:bCs/>
          <w:szCs w:val="22"/>
          <w:lang w:val="en-AU" w:bidi="ar-SA"/>
        </w:rPr>
        <w:t>5.</w:t>
      </w:r>
      <w:r w:rsidRPr="00491887">
        <w:rPr>
          <w:rFonts w:eastAsiaTheme="minorHAnsi" w:cs="Arial"/>
          <w:b/>
          <w:bCs/>
          <w:szCs w:val="22"/>
          <w:lang w:val="en-AU" w:bidi="ar-SA"/>
        </w:rPr>
        <w:tab/>
        <w:t>Statement of compatibility with human rights</w:t>
      </w:r>
    </w:p>
    <w:p w14:paraId="50EAB016" w14:textId="77777777" w:rsidR="00456BD5" w:rsidRPr="008D0F6D" w:rsidRDefault="00456BD5" w:rsidP="003225EA">
      <w:pPr>
        <w:widowControl/>
        <w:rPr>
          <w:rFonts w:eastAsiaTheme="minorHAnsi"/>
          <w:i/>
          <w:lang w:val="en-AU" w:bidi="ar-SA"/>
        </w:rPr>
      </w:pPr>
    </w:p>
    <w:p w14:paraId="56720C2A" w14:textId="77777777" w:rsidR="00456BD5" w:rsidRPr="008D0F6D" w:rsidRDefault="00456BD5" w:rsidP="00C63CE5">
      <w:pPr>
        <w:rPr>
          <w:rFonts w:eastAsiaTheme="minorHAnsi"/>
          <w:lang w:val="en-AU" w:bidi="ar-SA"/>
        </w:rPr>
      </w:pPr>
      <w:r w:rsidRPr="008D0F6D">
        <w:rPr>
          <w:rFonts w:eastAsiaTheme="minorHAnsi"/>
          <w:lang w:val="en-AU" w:bidi="ar-SA"/>
        </w:rPr>
        <w:t>This instrument is exempt from the requirements for a statement of compatibility with human rights as it is a non-disallowable instrument under section 94 of the FSANZ Act.</w:t>
      </w:r>
    </w:p>
    <w:p w14:paraId="70498EBB" w14:textId="26B86044" w:rsidR="00491887" w:rsidRDefault="00491887" w:rsidP="00C63CE5">
      <w:pPr>
        <w:rPr>
          <w:rFonts w:eastAsiaTheme="minorHAnsi"/>
          <w:lang w:val="en-AU" w:bidi="ar-SA"/>
        </w:rPr>
      </w:pPr>
      <w:r>
        <w:rPr>
          <w:rFonts w:eastAsiaTheme="minorHAnsi"/>
          <w:lang w:val="en-AU" w:bidi="ar-SA"/>
        </w:rPr>
        <w:br w:type="page"/>
      </w:r>
    </w:p>
    <w:p w14:paraId="50F59637" w14:textId="77777777" w:rsidR="00456BD5" w:rsidRPr="00491887" w:rsidRDefault="00456BD5" w:rsidP="003225EA">
      <w:pPr>
        <w:widowControl/>
        <w:rPr>
          <w:b/>
          <w:lang w:val="en-AU" w:eastAsia="en-GB" w:bidi="ar-SA"/>
        </w:rPr>
      </w:pPr>
      <w:r w:rsidRPr="00491887">
        <w:rPr>
          <w:b/>
        </w:rPr>
        <w:lastRenderedPageBreak/>
        <w:t>6.</w:t>
      </w:r>
      <w:r w:rsidRPr="00491887">
        <w:rPr>
          <w:b/>
        </w:rPr>
        <w:tab/>
      </w:r>
      <w:r w:rsidRPr="00491887">
        <w:rPr>
          <w:b/>
          <w:lang w:val="en-AU" w:eastAsia="en-GB" w:bidi="ar-SA"/>
        </w:rPr>
        <w:t>Variation</w:t>
      </w:r>
    </w:p>
    <w:p w14:paraId="7890A69A" w14:textId="77777777" w:rsidR="00456BD5" w:rsidRPr="008D0F6D" w:rsidRDefault="00456BD5" w:rsidP="003225EA">
      <w:pPr>
        <w:widowControl/>
        <w:rPr>
          <w:b/>
          <w:i/>
        </w:rPr>
      </w:pPr>
    </w:p>
    <w:p w14:paraId="2FB69137" w14:textId="2D6B6457" w:rsidR="00497952" w:rsidRPr="00AE0658" w:rsidRDefault="008F02B3" w:rsidP="00C63CE5">
      <w:r>
        <w:rPr>
          <w:b/>
        </w:rPr>
        <w:t>Subi</w:t>
      </w:r>
      <w:r w:rsidRPr="00C63CE5">
        <w:rPr>
          <w:b/>
        </w:rPr>
        <w:t xml:space="preserve">tem </w:t>
      </w:r>
      <w:r w:rsidR="00497952" w:rsidRPr="00C63CE5">
        <w:rPr>
          <w:b/>
        </w:rPr>
        <w:t>[1.1]</w:t>
      </w:r>
      <w:r w:rsidR="00497952" w:rsidRPr="00AE0658">
        <w:t xml:space="preserve"> amends Schedule 3 by inserting a reference into the table to subsection S3—2(2) to oil derived from marine micro-algae </w:t>
      </w:r>
      <w:r w:rsidR="00497952" w:rsidRPr="00C63CE5">
        <w:rPr>
          <w:i/>
        </w:rPr>
        <w:t>Schizochytrium</w:t>
      </w:r>
      <w:r w:rsidR="00497952" w:rsidRPr="00AE0658">
        <w:t xml:space="preserve"> sp. (ATCC PTA-9695) and to section S3—</w:t>
      </w:r>
      <w:r w:rsidR="004419B1" w:rsidRPr="00AE0658">
        <w:t>3</w:t>
      </w:r>
      <w:r w:rsidR="004419B1">
        <w:t>6</w:t>
      </w:r>
      <w:r w:rsidR="00497952" w:rsidRPr="00AE0658">
        <w:t>.</w:t>
      </w:r>
    </w:p>
    <w:p w14:paraId="09EDBFA7" w14:textId="77777777" w:rsidR="00497952" w:rsidRPr="00AE0658" w:rsidRDefault="00497952" w:rsidP="00C63CE5"/>
    <w:p w14:paraId="3D72F624" w14:textId="5164BB84" w:rsidR="00DA2B3A" w:rsidRDefault="008F02B3" w:rsidP="00C63CE5">
      <w:r>
        <w:rPr>
          <w:b/>
        </w:rPr>
        <w:t>Subit</w:t>
      </w:r>
      <w:r w:rsidRPr="00C63CE5">
        <w:rPr>
          <w:b/>
        </w:rPr>
        <w:t xml:space="preserve">em </w:t>
      </w:r>
      <w:r w:rsidR="00497952" w:rsidRPr="00C63CE5">
        <w:rPr>
          <w:b/>
        </w:rPr>
        <w:t>[1.2]</w:t>
      </w:r>
      <w:r w:rsidR="00497952" w:rsidRPr="00AE0658">
        <w:t xml:space="preserve"> amends Schedule 3 by inserting new section S3—</w:t>
      </w:r>
      <w:r w:rsidR="004419B1" w:rsidRPr="00AE0658">
        <w:t>3</w:t>
      </w:r>
      <w:r w:rsidR="004419B1">
        <w:t>6</w:t>
      </w:r>
      <w:r w:rsidR="004419B1" w:rsidRPr="00AE0658">
        <w:t xml:space="preserve"> </w:t>
      </w:r>
      <w:r w:rsidR="00497952" w:rsidRPr="00AE0658">
        <w:t>in that Schedule. The new section provides a specification for oil derived from marine micro-algae Schizochytrium sp. (ATCC PTA-9695).</w:t>
      </w:r>
    </w:p>
    <w:p w14:paraId="6586954D" w14:textId="77777777" w:rsidR="00497952" w:rsidRPr="00AE0658" w:rsidRDefault="00497952" w:rsidP="00C63CE5"/>
    <w:p w14:paraId="41E9272A" w14:textId="2E57A7D4" w:rsidR="0012388D" w:rsidRPr="00AE0658" w:rsidRDefault="00497952" w:rsidP="00C63CE5">
      <w:r w:rsidRPr="00C63CE5">
        <w:rPr>
          <w:b/>
        </w:rPr>
        <w:t>Item [2]</w:t>
      </w:r>
      <w:r w:rsidRPr="00AE0658">
        <w:t xml:space="preserve"> amends Schedule 25 by inserting a reference into the table to section S25—2 to oil derived from marine micro-algae </w:t>
      </w:r>
      <w:r w:rsidRPr="00C63CE5">
        <w:rPr>
          <w:i/>
        </w:rPr>
        <w:t>Schizochytrium</w:t>
      </w:r>
      <w:r w:rsidRPr="00AE0658">
        <w:t xml:space="preserve"> sp. (ATCC PTA-9695). The new reference contains a condition that the oil may only be added to infant formula products in accordance with Standard 2.9.1. The effect of the amendment is to provide a novel food permission for the use of the oil in only infant formula products.</w:t>
      </w:r>
      <w:bookmarkEnd w:id="140"/>
      <w:bookmarkEnd w:id="141"/>
    </w:p>
    <w:sectPr w:rsidR="0012388D" w:rsidRPr="00AE0658" w:rsidSect="005A7D7A">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9AA93" w14:textId="77777777" w:rsidR="000D04BF" w:rsidRDefault="000D04BF">
      <w:r>
        <w:separator/>
      </w:r>
    </w:p>
    <w:p w14:paraId="7431D61D" w14:textId="77777777" w:rsidR="000D04BF" w:rsidRDefault="000D04BF"/>
  </w:endnote>
  <w:endnote w:type="continuationSeparator" w:id="0">
    <w:p w14:paraId="34575A64" w14:textId="77777777" w:rsidR="000D04BF" w:rsidRDefault="000D04BF">
      <w:r>
        <w:continuationSeparator/>
      </w:r>
    </w:p>
    <w:p w14:paraId="1633755D" w14:textId="77777777" w:rsidR="000D04BF" w:rsidRDefault="000D04BF"/>
  </w:endnote>
  <w:endnote w:type="continuationNotice" w:id="1">
    <w:p w14:paraId="1FDD6315" w14:textId="77777777" w:rsidR="000D04BF" w:rsidRDefault="000D0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DDB6D" w14:textId="77777777" w:rsidR="000D04BF" w:rsidRDefault="000D04B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7B0B9" w14:textId="77777777" w:rsidR="000D04BF" w:rsidRDefault="000D04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7913"/>
      <w:docPartObj>
        <w:docPartGallery w:val="Page Numbers (Bottom of Page)"/>
        <w:docPartUnique/>
      </w:docPartObj>
    </w:sdtPr>
    <w:sdtEndPr>
      <w:rPr>
        <w:noProof/>
      </w:rPr>
    </w:sdtEndPr>
    <w:sdtContent>
      <w:p w14:paraId="2CBC10D2" w14:textId="5600A8F7" w:rsidR="000D04BF" w:rsidRDefault="000D04BF" w:rsidP="00A671E6">
        <w:pPr>
          <w:pStyle w:val="Footer"/>
          <w:jc w:val="center"/>
        </w:pPr>
        <w:r>
          <w:fldChar w:fldCharType="begin"/>
        </w:r>
        <w:r>
          <w:instrText xml:space="preserve"> PAGE   \* MERGEFORMAT </w:instrText>
        </w:r>
        <w:r>
          <w:fldChar w:fldCharType="separate"/>
        </w:r>
        <w:r w:rsidR="00157382">
          <w:rPr>
            <w:noProof/>
          </w:rPr>
          <w:t>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5A916" w14:textId="6AB63718" w:rsidR="000D04BF" w:rsidRDefault="005A7D7A">
      <w:r>
        <w:separator/>
      </w:r>
    </w:p>
  </w:footnote>
  <w:footnote w:type="continuationSeparator" w:id="0">
    <w:p w14:paraId="0B90CD1A" w14:textId="73580222" w:rsidR="000D04BF" w:rsidRDefault="005A7D7A">
      <w:r>
        <w:continuationSeparator/>
      </w:r>
    </w:p>
  </w:footnote>
  <w:footnote w:type="continuationNotice" w:id="1">
    <w:p w14:paraId="360CE8CC" w14:textId="77777777" w:rsidR="000D04BF" w:rsidRDefault="000D04BF"/>
  </w:footnote>
  <w:footnote w:id="2">
    <w:p w14:paraId="4E1C18D6" w14:textId="70AA0F43" w:rsidR="00511B93" w:rsidRPr="00511B93" w:rsidRDefault="00511B93">
      <w:pPr>
        <w:pStyle w:val="FootnoteText"/>
      </w:pPr>
      <w:r w:rsidRPr="00511B93">
        <w:rPr>
          <w:rStyle w:val="FootnoteReference"/>
          <w:sz w:val="18"/>
        </w:rPr>
        <w:footnoteRef/>
      </w:r>
      <w:r w:rsidRPr="00511B93">
        <w:rPr>
          <w:sz w:val="18"/>
        </w:rPr>
        <w:t xml:space="preserve"> </w:t>
      </w:r>
      <w:hyperlink r:id="rId1" w:history="1">
        <w:r w:rsidR="005A7D7A" w:rsidRPr="00782C59">
          <w:rPr>
            <w:rStyle w:val="Hyperlink"/>
            <w:sz w:val="18"/>
          </w:rPr>
          <w:t>http://www.foodstandards.gov.au/code/applications/Pages/A1124DHAAlgalOilinInfantFormula.aspx</w:t>
        </w:r>
      </w:hyperlink>
      <w:r w:rsidR="005A7D7A">
        <w:rPr>
          <w:sz w:val="18"/>
        </w:rPr>
        <w:t xml:space="preserve"> </w:t>
      </w:r>
    </w:p>
  </w:footnote>
  <w:footnote w:id="3">
    <w:p w14:paraId="46259F9C" w14:textId="77777777" w:rsidR="000D04BF" w:rsidRPr="0063219C" w:rsidRDefault="000D04BF" w:rsidP="00E81B94">
      <w:pPr>
        <w:pStyle w:val="FootnoteText"/>
        <w:rPr>
          <w:sz w:val="18"/>
        </w:rPr>
      </w:pPr>
      <w:r w:rsidRPr="0063219C">
        <w:rPr>
          <w:rStyle w:val="FootnoteReference"/>
          <w:sz w:val="18"/>
        </w:rPr>
        <w:footnoteRef/>
      </w:r>
      <w:r w:rsidRPr="0063219C">
        <w:rPr>
          <w:sz w:val="18"/>
        </w:rPr>
        <w:t xml:space="preserve"> Productivity refers to how quickly the </w:t>
      </w:r>
      <w:r w:rsidRPr="0063219C">
        <w:rPr>
          <w:rFonts w:cs="Arial"/>
          <w:sz w:val="18"/>
          <w:lang w:val="en"/>
        </w:rPr>
        <w:t>organisms grow and the cell densities.</w:t>
      </w:r>
    </w:p>
  </w:footnote>
  <w:footnote w:id="4">
    <w:p w14:paraId="48BD117A" w14:textId="4E62D719" w:rsidR="00C22B07" w:rsidRPr="0063219C" w:rsidRDefault="00C22B07">
      <w:pPr>
        <w:pStyle w:val="FootnoteText"/>
        <w:rPr>
          <w:sz w:val="18"/>
          <w:lang w:val="en-AU"/>
        </w:rPr>
      </w:pPr>
      <w:r w:rsidRPr="0063219C">
        <w:rPr>
          <w:rStyle w:val="FootnoteReference"/>
          <w:sz w:val="18"/>
        </w:rPr>
        <w:footnoteRef/>
      </w:r>
      <w:r w:rsidRPr="0063219C">
        <w:rPr>
          <w:sz w:val="18"/>
        </w:rPr>
        <w:t xml:space="preserve"> </w:t>
      </w:r>
      <w:hyperlink r:id="rId2" w:history="1">
        <w:r w:rsidR="005A7D7A" w:rsidRPr="00782C59">
          <w:rPr>
            <w:rStyle w:val="Hyperlink"/>
            <w:sz w:val="18"/>
          </w:rPr>
          <w:t>http://www.foodstandards.gov.au/code/proposals/Pages/proposalp1024revisio5756.aspx</w:t>
        </w:r>
      </w:hyperlink>
      <w:r w:rsidR="005A7D7A">
        <w:rPr>
          <w:sz w:val="18"/>
        </w:rPr>
        <w:t xml:space="preserve"> </w:t>
      </w:r>
    </w:p>
  </w:footnote>
  <w:footnote w:id="5">
    <w:p w14:paraId="73B3BC38" w14:textId="746DF9B4" w:rsidR="00C22B07" w:rsidRPr="0063219C" w:rsidRDefault="00C22B07">
      <w:pPr>
        <w:pStyle w:val="FootnoteText"/>
        <w:rPr>
          <w:sz w:val="18"/>
        </w:rPr>
      </w:pPr>
      <w:r w:rsidRPr="0063219C">
        <w:rPr>
          <w:rStyle w:val="FootnoteReference"/>
          <w:sz w:val="18"/>
        </w:rPr>
        <w:footnoteRef/>
      </w:r>
      <w:r w:rsidRPr="0063219C">
        <w:rPr>
          <w:sz w:val="18"/>
        </w:rPr>
        <w:t xml:space="preserve"> </w:t>
      </w:r>
      <w:hyperlink r:id="rId3" w:history="1">
        <w:r w:rsidR="005A7D7A" w:rsidRPr="00782C59">
          <w:rPr>
            <w:rStyle w:val="Hyperlink"/>
            <w:sz w:val="18"/>
          </w:rPr>
          <w:t>http://www.foodstandards.gov.au/code/proposals/Pages/P1028.aspx</w:t>
        </w:r>
      </w:hyperlink>
      <w:r w:rsidR="005A7D7A">
        <w:rPr>
          <w:sz w:val="18"/>
        </w:rPr>
        <w:t xml:space="preserve"> </w:t>
      </w:r>
    </w:p>
  </w:footnote>
  <w:footnote w:id="6">
    <w:p w14:paraId="050863BA" w14:textId="77777777" w:rsidR="00BD681B" w:rsidRPr="004864A3" w:rsidRDefault="00BD681B" w:rsidP="00BD681B">
      <w:pPr>
        <w:pStyle w:val="FootnoteText"/>
        <w:rPr>
          <w:sz w:val="18"/>
          <w:szCs w:val="18"/>
          <w:lang w:val="en-AU"/>
        </w:rPr>
      </w:pPr>
      <w:r w:rsidRPr="004864A3">
        <w:rPr>
          <w:rStyle w:val="FootnoteReference"/>
          <w:sz w:val="18"/>
          <w:szCs w:val="18"/>
        </w:rPr>
        <w:footnoteRef/>
      </w:r>
      <w:hyperlink r:id="rId4" w:history="1">
        <w:r w:rsidRPr="00782C59">
          <w:rPr>
            <w:rStyle w:val="Hyperlink"/>
            <w:sz w:val="18"/>
            <w:szCs w:val="18"/>
            <w:lang w:val="en-AU"/>
          </w:rPr>
          <w:t>http://www.foodstandards.gov.au/code/proposals/Pages/proposalp93reviewofinfantformula/Default.aspx</w:t>
        </w:r>
      </w:hyperlink>
      <w:r>
        <w:rPr>
          <w:sz w:val="18"/>
          <w:szCs w:val="18"/>
          <w:lang w:val="en-AU"/>
        </w:rPr>
        <w:t xml:space="preserve"> </w:t>
      </w:r>
    </w:p>
  </w:footnote>
  <w:footnote w:id="7">
    <w:p w14:paraId="0634C592" w14:textId="05A4DF80" w:rsidR="003C60AC" w:rsidRPr="00BD681B" w:rsidRDefault="003C60AC">
      <w:pPr>
        <w:pStyle w:val="FootnoteText"/>
        <w:rPr>
          <w:sz w:val="18"/>
          <w:lang w:val="en-AU"/>
        </w:rPr>
      </w:pPr>
      <w:r w:rsidRPr="00BD681B">
        <w:rPr>
          <w:rStyle w:val="FootnoteReference"/>
          <w:sz w:val="18"/>
        </w:rPr>
        <w:footnoteRef/>
      </w:r>
      <w:r w:rsidRPr="00BD681B">
        <w:rPr>
          <w:sz w:val="18"/>
        </w:rPr>
        <w:t xml:space="preserve"> </w:t>
      </w:r>
      <w:hyperlink r:id="rId5" w:history="1">
        <w:r w:rsidR="00BD681B" w:rsidRPr="00BD681B">
          <w:rPr>
            <w:rStyle w:val="Hyperlink"/>
            <w:sz w:val="18"/>
          </w:rPr>
          <w:t>http://www.foodstandards.gov.au/code/fofr/fofrpolicy/pages/default.aspx</w:t>
        </w:r>
      </w:hyperlink>
      <w:r w:rsidR="00BD681B" w:rsidRPr="00BD681B">
        <w:rPr>
          <w:sz w:val="18"/>
        </w:rPr>
        <w:t xml:space="preserve"> </w:t>
      </w:r>
    </w:p>
  </w:footnote>
  <w:footnote w:id="8">
    <w:p w14:paraId="2A06EF30" w14:textId="3EE2566F" w:rsidR="003C60AC" w:rsidRPr="00BD681B" w:rsidRDefault="003C60AC">
      <w:pPr>
        <w:pStyle w:val="FootnoteText"/>
        <w:rPr>
          <w:sz w:val="18"/>
          <w:lang w:val="en-AU"/>
        </w:rPr>
      </w:pPr>
      <w:r w:rsidRPr="00BD681B">
        <w:rPr>
          <w:rStyle w:val="FootnoteReference"/>
          <w:sz w:val="18"/>
        </w:rPr>
        <w:footnoteRef/>
      </w:r>
      <w:r w:rsidRPr="00BD681B">
        <w:rPr>
          <w:sz w:val="18"/>
        </w:rPr>
        <w:t xml:space="preserve"> </w:t>
      </w:r>
      <w:hyperlink r:id="rId6" w:history="1">
        <w:r w:rsidR="00BD681B" w:rsidRPr="00BD681B">
          <w:rPr>
            <w:rStyle w:val="Hyperlink"/>
            <w:sz w:val="18"/>
          </w:rPr>
          <w:t>http://www.foodstandards.gov.au/code/fofr/fofrpolicy/pages/default.aspx</w:t>
        </w:r>
      </w:hyperlink>
      <w:r w:rsidR="00BD681B" w:rsidRPr="00BD681B">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BE39B" w14:textId="77777777" w:rsidR="000D04BF" w:rsidRDefault="000D04BF">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26FA0076"/>
    <w:multiLevelType w:val="hybridMultilevel"/>
    <w:tmpl w:val="8C727BE2"/>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2"/>
  </w:num>
  <w:num w:numId="7">
    <w:abstractNumId w:val="2"/>
  </w:num>
  <w:num w:numId="8">
    <w:abstractNumId w:val="2"/>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05D3C"/>
    <w:rsid w:val="00007CE2"/>
    <w:rsid w:val="00010E79"/>
    <w:rsid w:val="00011187"/>
    <w:rsid w:val="00011E36"/>
    <w:rsid w:val="00014E34"/>
    <w:rsid w:val="00015257"/>
    <w:rsid w:val="00023B19"/>
    <w:rsid w:val="00031204"/>
    <w:rsid w:val="000332AE"/>
    <w:rsid w:val="00033AFF"/>
    <w:rsid w:val="00035FF3"/>
    <w:rsid w:val="000418F0"/>
    <w:rsid w:val="0004711B"/>
    <w:rsid w:val="00051021"/>
    <w:rsid w:val="000524F0"/>
    <w:rsid w:val="00052D54"/>
    <w:rsid w:val="000571A2"/>
    <w:rsid w:val="000576EB"/>
    <w:rsid w:val="00060811"/>
    <w:rsid w:val="00062C3E"/>
    <w:rsid w:val="00064B2D"/>
    <w:rsid w:val="00065F1F"/>
    <w:rsid w:val="00067841"/>
    <w:rsid w:val="00073EF4"/>
    <w:rsid w:val="00076D33"/>
    <w:rsid w:val="00076D3B"/>
    <w:rsid w:val="00077859"/>
    <w:rsid w:val="00077AEA"/>
    <w:rsid w:val="00081B0A"/>
    <w:rsid w:val="00082C7E"/>
    <w:rsid w:val="000A0874"/>
    <w:rsid w:val="000A0E8D"/>
    <w:rsid w:val="000A3D8B"/>
    <w:rsid w:val="000A56D8"/>
    <w:rsid w:val="000B2E48"/>
    <w:rsid w:val="000B427A"/>
    <w:rsid w:val="000B6AF2"/>
    <w:rsid w:val="000C1548"/>
    <w:rsid w:val="000C25CD"/>
    <w:rsid w:val="000C3118"/>
    <w:rsid w:val="000D04BF"/>
    <w:rsid w:val="000D39FB"/>
    <w:rsid w:val="000D6FD4"/>
    <w:rsid w:val="000D7B1C"/>
    <w:rsid w:val="000E0AE4"/>
    <w:rsid w:val="000E0EFC"/>
    <w:rsid w:val="000E1EA4"/>
    <w:rsid w:val="000E3DBC"/>
    <w:rsid w:val="000E662F"/>
    <w:rsid w:val="000F3CFE"/>
    <w:rsid w:val="000F6568"/>
    <w:rsid w:val="00102819"/>
    <w:rsid w:val="00104544"/>
    <w:rsid w:val="0010778D"/>
    <w:rsid w:val="001122EC"/>
    <w:rsid w:val="00112CFA"/>
    <w:rsid w:val="00114E36"/>
    <w:rsid w:val="0012388D"/>
    <w:rsid w:val="00125A35"/>
    <w:rsid w:val="0012681A"/>
    <w:rsid w:val="0013596F"/>
    <w:rsid w:val="00136B57"/>
    <w:rsid w:val="00146C7D"/>
    <w:rsid w:val="00147462"/>
    <w:rsid w:val="00150B54"/>
    <w:rsid w:val="0015187A"/>
    <w:rsid w:val="001535AB"/>
    <w:rsid w:val="00157382"/>
    <w:rsid w:val="001737EB"/>
    <w:rsid w:val="00182C4C"/>
    <w:rsid w:val="00184937"/>
    <w:rsid w:val="00185186"/>
    <w:rsid w:val="001878C5"/>
    <w:rsid w:val="0019399D"/>
    <w:rsid w:val="00197D8D"/>
    <w:rsid w:val="001A1A75"/>
    <w:rsid w:val="001A7E9A"/>
    <w:rsid w:val="001C27A3"/>
    <w:rsid w:val="001D43F6"/>
    <w:rsid w:val="001D6B2E"/>
    <w:rsid w:val="001E09FA"/>
    <w:rsid w:val="001E3C12"/>
    <w:rsid w:val="001E7FA2"/>
    <w:rsid w:val="001F7F63"/>
    <w:rsid w:val="00202414"/>
    <w:rsid w:val="00202A6F"/>
    <w:rsid w:val="002134D7"/>
    <w:rsid w:val="002160CB"/>
    <w:rsid w:val="00217983"/>
    <w:rsid w:val="0022197C"/>
    <w:rsid w:val="00221D07"/>
    <w:rsid w:val="00224E3B"/>
    <w:rsid w:val="00227E4A"/>
    <w:rsid w:val="00231EE9"/>
    <w:rsid w:val="002421C1"/>
    <w:rsid w:val="0024702A"/>
    <w:rsid w:val="00250197"/>
    <w:rsid w:val="00255446"/>
    <w:rsid w:val="0026673A"/>
    <w:rsid w:val="00274A61"/>
    <w:rsid w:val="002758A0"/>
    <w:rsid w:val="00282A2B"/>
    <w:rsid w:val="00283B0C"/>
    <w:rsid w:val="0029204E"/>
    <w:rsid w:val="00292B9B"/>
    <w:rsid w:val="002A0194"/>
    <w:rsid w:val="002A5F8B"/>
    <w:rsid w:val="002A7F6C"/>
    <w:rsid w:val="002B0071"/>
    <w:rsid w:val="002C1A3B"/>
    <w:rsid w:val="002C6DB1"/>
    <w:rsid w:val="002D0068"/>
    <w:rsid w:val="002D00BA"/>
    <w:rsid w:val="002D1F2B"/>
    <w:rsid w:val="002D21B0"/>
    <w:rsid w:val="002D2422"/>
    <w:rsid w:val="002D7D41"/>
    <w:rsid w:val="002E16D5"/>
    <w:rsid w:val="002E1820"/>
    <w:rsid w:val="002F35EA"/>
    <w:rsid w:val="002F4374"/>
    <w:rsid w:val="002F6488"/>
    <w:rsid w:val="002F783E"/>
    <w:rsid w:val="00305C54"/>
    <w:rsid w:val="0031016C"/>
    <w:rsid w:val="0031426B"/>
    <w:rsid w:val="003213F9"/>
    <w:rsid w:val="003225EA"/>
    <w:rsid w:val="00323AB6"/>
    <w:rsid w:val="00323DBF"/>
    <w:rsid w:val="00327867"/>
    <w:rsid w:val="0033151D"/>
    <w:rsid w:val="00332B12"/>
    <w:rsid w:val="00337CBC"/>
    <w:rsid w:val="003428FC"/>
    <w:rsid w:val="00346622"/>
    <w:rsid w:val="00346CDF"/>
    <w:rsid w:val="003502B8"/>
    <w:rsid w:val="003507DB"/>
    <w:rsid w:val="00351B07"/>
    <w:rsid w:val="0036533D"/>
    <w:rsid w:val="00371B29"/>
    <w:rsid w:val="00372CA4"/>
    <w:rsid w:val="003766F8"/>
    <w:rsid w:val="00377D03"/>
    <w:rsid w:val="00380106"/>
    <w:rsid w:val="003814F0"/>
    <w:rsid w:val="00381E07"/>
    <w:rsid w:val="00383B45"/>
    <w:rsid w:val="00385788"/>
    <w:rsid w:val="00391769"/>
    <w:rsid w:val="00394E89"/>
    <w:rsid w:val="003953E1"/>
    <w:rsid w:val="003956B3"/>
    <w:rsid w:val="003A0A4D"/>
    <w:rsid w:val="003A3D30"/>
    <w:rsid w:val="003A68BE"/>
    <w:rsid w:val="003A71E5"/>
    <w:rsid w:val="003A7B84"/>
    <w:rsid w:val="003B6A65"/>
    <w:rsid w:val="003C4969"/>
    <w:rsid w:val="003C60AC"/>
    <w:rsid w:val="003D2CDC"/>
    <w:rsid w:val="003D433B"/>
    <w:rsid w:val="003D4E48"/>
    <w:rsid w:val="003D5A0F"/>
    <w:rsid w:val="003E41D5"/>
    <w:rsid w:val="003E46BA"/>
    <w:rsid w:val="003E6738"/>
    <w:rsid w:val="003F74C1"/>
    <w:rsid w:val="004008A1"/>
    <w:rsid w:val="00401ADE"/>
    <w:rsid w:val="00405B1A"/>
    <w:rsid w:val="00410C76"/>
    <w:rsid w:val="00411907"/>
    <w:rsid w:val="00415B7A"/>
    <w:rsid w:val="00417EE3"/>
    <w:rsid w:val="004207EB"/>
    <w:rsid w:val="00421730"/>
    <w:rsid w:val="00422EC9"/>
    <w:rsid w:val="00423AC7"/>
    <w:rsid w:val="00432A42"/>
    <w:rsid w:val="00436359"/>
    <w:rsid w:val="00437276"/>
    <w:rsid w:val="004407A7"/>
    <w:rsid w:val="004419B1"/>
    <w:rsid w:val="0044516C"/>
    <w:rsid w:val="0045024E"/>
    <w:rsid w:val="00453646"/>
    <w:rsid w:val="00456B54"/>
    <w:rsid w:val="00456BD5"/>
    <w:rsid w:val="0046017F"/>
    <w:rsid w:val="00460DBE"/>
    <w:rsid w:val="00464643"/>
    <w:rsid w:val="00475E6F"/>
    <w:rsid w:val="004864A3"/>
    <w:rsid w:val="00486793"/>
    <w:rsid w:val="00486C66"/>
    <w:rsid w:val="00490CD0"/>
    <w:rsid w:val="00491887"/>
    <w:rsid w:val="00494A3F"/>
    <w:rsid w:val="00497952"/>
    <w:rsid w:val="004A2037"/>
    <w:rsid w:val="004A43C5"/>
    <w:rsid w:val="004A793C"/>
    <w:rsid w:val="004B047B"/>
    <w:rsid w:val="004B10A2"/>
    <w:rsid w:val="004B4CDC"/>
    <w:rsid w:val="004D01EC"/>
    <w:rsid w:val="004D121E"/>
    <w:rsid w:val="004D1B1C"/>
    <w:rsid w:val="004E2020"/>
    <w:rsid w:val="004E254F"/>
    <w:rsid w:val="004F4F98"/>
    <w:rsid w:val="004F69F6"/>
    <w:rsid w:val="004F79AC"/>
    <w:rsid w:val="00506E9B"/>
    <w:rsid w:val="00511B93"/>
    <w:rsid w:val="00513D39"/>
    <w:rsid w:val="00517CD8"/>
    <w:rsid w:val="005207D8"/>
    <w:rsid w:val="00521984"/>
    <w:rsid w:val="00523930"/>
    <w:rsid w:val="005244F1"/>
    <w:rsid w:val="00524FB2"/>
    <w:rsid w:val="00535493"/>
    <w:rsid w:val="00537CDC"/>
    <w:rsid w:val="00543883"/>
    <w:rsid w:val="0055051B"/>
    <w:rsid w:val="00560185"/>
    <w:rsid w:val="00562917"/>
    <w:rsid w:val="00571B8C"/>
    <w:rsid w:val="00577798"/>
    <w:rsid w:val="00580DDF"/>
    <w:rsid w:val="005811B7"/>
    <w:rsid w:val="00586228"/>
    <w:rsid w:val="005946D3"/>
    <w:rsid w:val="00596ECA"/>
    <w:rsid w:val="00597631"/>
    <w:rsid w:val="005A2C33"/>
    <w:rsid w:val="005A2DAC"/>
    <w:rsid w:val="005A572E"/>
    <w:rsid w:val="005A7D7A"/>
    <w:rsid w:val="005B084E"/>
    <w:rsid w:val="005B1065"/>
    <w:rsid w:val="005B6AF4"/>
    <w:rsid w:val="005C04CB"/>
    <w:rsid w:val="005C5450"/>
    <w:rsid w:val="005D16AD"/>
    <w:rsid w:val="005D2016"/>
    <w:rsid w:val="005D2663"/>
    <w:rsid w:val="005D72E1"/>
    <w:rsid w:val="005E06C0"/>
    <w:rsid w:val="005E1476"/>
    <w:rsid w:val="005E3D81"/>
    <w:rsid w:val="005E58D3"/>
    <w:rsid w:val="005E6E16"/>
    <w:rsid w:val="005F07AA"/>
    <w:rsid w:val="005F400E"/>
    <w:rsid w:val="005F7342"/>
    <w:rsid w:val="005F73C9"/>
    <w:rsid w:val="006058D7"/>
    <w:rsid w:val="00607BBA"/>
    <w:rsid w:val="00610A3C"/>
    <w:rsid w:val="006138D7"/>
    <w:rsid w:val="00615E83"/>
    <w:rsid w:val="00616017"/>
    <w:rsid w:val="00620898"/>
    <w:rsid w:val="00621B3D"/>
    <w:rsid w:val="00624A56"/>
    <w:rsid w:val="00626F8C"/>
    <w:rsid w:val="00627F48"/>
    <w:rsid w:val="0063219C"/>
    <w:rsid w:val="0063455F"/>
    <w:rsid w:val="00635814"/>
    <w:rsid w:val="006377DE"/>
    <w:rsid w:val="00641249"/>
    <w:rsid w:val="00651A4D"/>
    <w:rsid w:val="00663FCF"/>
    <w:rsid w:val="00664A8A"/>
    <w:rsid w:val="006652A2"/>
    <w:rsid w:val="00675DAC"/>
    <w:rsid w:val="00683071"/>
    <w:rsid w:val="00687410"/>
    <w:rsid w:val="00687957"/>
    <w:rsid w:val="0069172D"/>
    <w:rsid w:val="00692490"/>
    <w:rsid w:val="00694689"/>
    <w:rsid w:val="006969CC"/>
    <w:rsid w:val="00696A15"/>
    <w:rsid w:val="006A48A7"/>
    <w:rsid w:val="006A4C10"/>
    <w:rsid w:val="006A56AD"/>
    <w:rsid w:val="006A5D40"/>
    <w:rsid w:val="006A743B"/>
    <w:rsid w:val="006B0970"/>
    <w:rsid w:val="006B71D5"/>
    <w:rsid w:val="006C187B"/>
    <w:rsid w:val="006C22A7"/>
    <w:rsid w:val="006C5CF5"/>
    <w:rsid w:val="006D2FEE"/>
    <w:rsid w:val="006D33FF"/>
    <w:rsid w:val="006E10A1"/>
    <w:rsid w:val="006E5C60"/>
    <w:rsid w:val="006F4A82"/>
    <w:rsid w:val="00704375"/>
    <w:rsid w:val="00706E85"/>
    <w:rsid w:val="00710C37"/>
    <w:rsid w:val="007160FF"/>
    <w:rsid w:val="007206B6"/>
    <w:rsid w:val="00721752"/>
    <w:rsid w:val="007223A1"/>
    <w:rsid w:val="007247F3"/>
    <w:rsid w:val="00724FA4"/>
    <w:rsid w:val="00725FAB"/>
    <w:rsid w:val="0072611B"/>
    <w:rsid w:val="0072677F"/>
    <w:rsid w:val="00730800"/>
    <w:rsid w:val="00734DFF"/>
    <w:rsid w:val="00755F02"/>
    <w:rsid w:val="00757407"/>
    <w:rsid w:val="007602AA"/>
    <w:rsid w:val="007652EF"/>
    <w:rsid w:val="00765DE1"/>
    <w:rsid w:val="00772BDC"/>
    <w:rsid w:val="00776BC5"/>
    <w:rsid w:val="00777437"/>
    <w:rsid w:val="00780792"/>
    <w:rsid w:val="00780C20"/>
    <w:rsid w:val="0078309E"/>
    <w:rsid w:val="007871AD"/>
    <w:rsid w:val="00793266"/>
    <w:rsid w:val="00795D86"/>
    <w:rsid w:val="007A44B4"/>
    <w:rsid w:val="007A53BF"/>
    <w:rsid w:val="007A7349"/>
    <w:rsid w:val="007A7D3D"/>
    <w:rsid w:val="007B225D"/>
    <w:rsid w:val="007B37B3"/>
    <w:rsid w:val="007C1C64"/>
    <w:rsid w:val="007C22CB"/>
    <w:rsid w:val="007C7350"/>
    <w:rsid w:val="007D0146"/>
    <w:rsid w:val="007D0189"/>
    <w:rsid w:val="007D3445"/>
    <w:rsid w:val="007E48BC"/>
    <w:rsid w:val="007E79F7"/>
    <w:rsid w:val="007F3630"/>
    <w:rsid w:val="007F4561"/>
    <w:rsid w:val="007F7BF7"/>
    <w:rsid w:val="008002CF"/>
    <w:rsid w:val="00807559"/>
    <w:rsid w:val="00813464"/>
    <w:rsid w:val="0081670F"/>
    <w:rsid w:val="00831154"/>
    <w:rsid w:val="00834C22"/>
    <w:rsid w:val="0083579F"/>
    <w:rsid w:val="00837062"/>
    <w:rsid w:val="008450BC"/>
    <w:rsid w:val="00847066"/>
    <w:rsid w:val="00850B09"/>
    <w:rsid w:val="0085143A"/>
    <w:rsid w:val="00852BC2"/>
    <w:rsid w:val="0085334B"/>
    <w:rsid w:val="008537BA"/>
    <w:rsid w:val="00856712"/>
    <w:rsid w:val="00860808"/>
    <w:rsid w:val="00861C13"/>
    <w:rsid w:val="00862349"/>
    <w:rsid w:val="0086571E"/>
    <w:rsid w:val="00865E8D"/>
    <w:rsid w:val="008679ED"/>
    <w:rsid w:val="00870214"/>
    <w:rsid w:val="00871116"/>
    <w:rsid w:val="00882956"/>
    <w:rsid w:val="00885C51"/>
    <w:rsid w:val="008922FA"/>
    <w:rsid w:val="00896B85"/>
    <w:rsid w:val="008A1D33"/>
    <w:rsid w:val="008A243D"/>
    <w:rsid w:val="008A657E"/>
    <w:rsid w:val="008B30CC"/>
    <w:rsid w:val="008B746A"/>
    <w:rsid w:val="008C193B"/>
    <w:rsid w:val="008C4E76"/>
    <w:rsid w:val="008D0510"/>
    <w:rsid w:val="008D06C6"/>
    <w:rsid w:val="008D0F6D"/>
    <w:rsid w:val="008D5E9D"/>
    <w:rsid w:val="008E58D0"/>
    <w:rsid w:val="008E6250"/>
    <w:rsid w:val="008F0128"/>
    <w:rsid w:val="008F02B3"/>
    <w:rsid w:val="008F3E4E"/>
    <w:rsid w:val="008F55E6"/>
    <w:rsid w:val="009008C8"/>
    <w:rsid w:val="0091646D"/>
    <w:rsid w:val="00917C6F"/>
    <w:rsid w:val="00920249"/>
    <w:rsid w:val="0092201E"/>
    <w:rsid w:val="00932F14"/>
    <w:rsid w:val="0094247F"/>
    <w:rsid w:val="00942D60"/>
    <w:rsid w:val="0094358A"/>
    <w:rsid w:val="009460FA"/>
    <w:rsid w:val="00947534"/>
    <w:rsid w:val="009478A1"/>
    <w:rsid w:val="0095229C"/>
    <w:rsid w:val="0096523B"/>
    <w:rsid w:val="0096626A"/>
    <w:rsid w:val="00972D06"/>
    <w:rsid w:val="00987BC0"/>
    <w:rsid w:val="0099323D"/>
    <w:rsid w:val="009939F4"/>
    <w:rsid w:val="0099623A"/>
    <w:rsid w:val="009A1256"/>
    <w:rsid w:val="009A2699"/>
    <w:rsid w:val="009A28FD"/>
    <w:rsid w:val="009A2DC9"/>
    <w:rsid w:val="009A391C"/>
    <w:rsid w:val="009A3BDF"/>
    <w:rsid w:val="009A7B63"/>
    <w:rsid w:val="009D544A"/>
    <w:rsid w:val="009E0A61"/>
    <w:rsid w:val="009E3010"/>
    <w:rsid w:val="009E46F5"/>
    <w:rsid w:val="009E4C67"/>
    <w:rsid w:val="009E5C68"/>
    <w:rsid w:val="009F7065"/>
    <w:rsid w:val="00A01F96"/>
    <w:rsid w:val="00A0328B"/>
    <w:rsid w:val="00A0573D"/>
    <w:rsid w:val="00A06B46"/>
    <w:rsid w:val="00A16EA3"/>
    <w:rsid w:val="00A17318"/>
    <w:rsid w:val="00A20341"/>
    <w:rsid w:val="00A2449C"/>
    <w:rsid w:val="00A318EB"/>
    <w:rsid w:val="00A372E4"/>
    <w:rsid w:val="00A545AC"/>
    <w:rsid w:val="00A551B9"/>
    <w:rsid w:val="00A56DC7"/>
    <w:rsid w:val="00A63A66"/>
    <w:rsid w:val="00A66FDD"/>
    <w:rsid w:val="00A671E6"/>
    <w:rsid w:val="00A709E5"/>
    <w:rsid w:val="00A74FD1"/>
    <w:rsid w:val="00A7640E"/>
    <w:rsid w:val="00A84367"/>
    <w:rsid w:val="00A84A58"/>
    <w:rsid w:val="00A929A9"/>
    <w:rsid w:val="00A96594"/>
    <w:rsid w:val="00AA41BA"/>
    <w:rsid w:val="00AA6D0D"/>
    <w:rsid w:val="00AA6FA3"/>
    <w:rsid w:val="00AB3CEF"/>
    <w:rsid w:val="00AC084B"/>
    <w:rsid w:val="00AC428E"/>
    <w:rsid w:val="00AC7AB4"/>
    <w:rsid w:val="00AD344F"/>
    <w:rsid w:val="00AE0658"/>
    <w:rsid w:val="00AE2688"/>
    <w:rsid w:val="00AE4698"/>
    <w:rsid w:val="00AE4FFD"/>
    <w:rsid w:val="00AF24FA"/>
    <w:rsid w:val="00AF387F"/>
    <w:rsid w:val="00AF397D"/>
    <w:rsid w:val="00AF3D8D"/>
    <w:rsid w:val="00AF49DF"/>
    <w:rsid w:val="00AF4DCC"/>
    <w:rsid w:val="00B00E7F"/>
    <w:rsid w:val="00B12B2A"/>
    <w:rsid w:val="00B17112"/>
    <w:rsid w:val="00B21055"/>
    <w:rsid w:val="00B21422"/>
    <w:rsid w:val="00B21DCC"/>
    <w:rsid w:val="00B22FAD"/>
    <w:rsid w:val="00B24214"/>
    <w:rsid w:val="00B25F37"/>
    <w:rsid w:val="00B37158"/>
    <w:rsid w:val="00B425AA"/>
    <w:rsid w:val="00B44422"/>
    <w:rsid w:val="00B46EA0"/>
    <w:rsid w:val="00B55714"/>
    <w:rsid w:val="00B57054"/>
    <w:rsid w:val="00B60EB9"/>
    <w:rsid w:val="00B63BBA"/>
    <w:rsid w:val="00B731D3"/>
    <w:rsid w:val="00B756F5"/>
    <w:rsid w:val="00B75B57"/>
    <w:rsid w:val="00B77C18"/>
    <w:rsid w:val="00B811B3"/>
    <w:rsid w:val="00B839A3"/>
    <w:rsid w:val="00B902BD"/>
    <w:rsid w:val="00B92501"/>
    <w:rsid w:val="00BA1009"/>
    <w:rsid w:val="00BB0EC9"/>
    <w:rsid w:val="00BC16C9"/>
    <w:rsid w:val="00BD0E3B"/>
    <w:rsid w:val="00BD2155"/>
    <w:rsid w:val="00BD2A39"/>
    <w:rsid w:val="00BD2E80"/>
    <w:rsid w:val="00BD3F07"/>
    <w:rsid w:val="00BD49FF"/>
    <w:rsid w:val="00BD4B64"/>
    <w:rsid w:val="00BD681B"/>
    <w:rsid w:val="00BD77E1"/>
    <w:rsid w:val="00BE11B8"/>
    <w:rsid w:val="00BE4EA8"/>
    <w:rsid w:val="00BF45A3"/>
    <w:rsid w:val="00BF7FF0"/>
    <w:rsid w:val="00C0091D"/>
    <w:rsid w:val="00C022F7"/>
    <w:rsid w:val="00C111C3"/>
    <w:rsid w:val="00C11AEA"/>
    <w:rsid w:val="00C12502"/>
    <w:rsid w:val="00C13082"/>
    <w:rsid w:val="00C210BE"/>
    <w:rsid w:val="00C21F72"/>
    <w:rsid w:val="00C22B07"/>
    <w:rsid w:val="00C26B3B"/>
    <w:rsid w:val="00C356E2"/>
    <w:rsid w:val="00C40AA5"/>
    <w:rsid w:val="00C46F70"/>
    <w:rsid w:val="00C476D0"/>
    <w:rsid w:val="00C56ADC"/>
    <w:rsid w:val="00C60C01"/>
    <w:rsid w:val="00C63CE5"/>
    <w:rsid w:val="00C6434A"/>
    <w:rsid w:val="00C64555"/>
    <w:rsid w:val="00C74398"/>
    <w:rsid w:val="00C830B9"/>
    <w:rsid w:val="00C836E3"/>
    <w:rsid w:val="00C836FF"/>
    <w:rsid w:val="00C854DC"/>
    <w:rsid w:val="00C86577"/>
    <w:rsid w:val="00C90CAA"/>
    <w:rsid w:val="00C91C02"/>
    <w:rsid w:val="00C92E07"/>
    <w:rsid w:val="00C9348B"/>
    <w:rsid w:val="00C96868"/>
    <w:rsid w:val="00CA0416"/>
    <w:rsid w:val="00CA5734"/>
    <w:rsid w:val="00CA70E2"/>
    <w:rsid w:val="00CB115C"/>
    <w:rsid w:val="00CB1B66"/>
    <w:rsid w:val="00CC1085"/>
    <w:rsid w:val="00CC1956"/>
    <w:rsid w:val="00CC3764"/>
    <w:rsid w:val="00CC3A35"/>
    <w:rsid w:val="00CC52CA"/>
    <w:rsid w:val="00CC5468"/>
    <w:rsid w:val="00CC560B"/>
    <w:rsid w:val="00CC75E2"/>
    <w:rsid w:val="00CD46EB"/>
    <w:rsid w:val="00CD7EBF"/>
    <w:rsid w:val="00CE59AA"/>
    <w:rsid w:val="00CF0E86"/>
    <w:rsid w:val="00CF1D57"/>
    <w:rsid w:val="00D00DFA"/>
    <w:rsid w:val="00D056F1"/>
    <w:rsid w:val="00D06616"/>
    <w:rsid w:val="00D144D7"/>
    <w:rsid w:val="00D15A08"/>
    <w:rsid w:val="00D23DB6"/>
    <w:rsid w:val="00D24A5C"/>
    <w:rsid w:val="00D272A2"/>
    <w:rsid w:val="00D42B25"/>
    <w:rsid w:val="00D51A95"/>
    <w:rsid w:val="00D56162"/>
    <w:rsid w:val="00D60568"/>
    <w:rsid w:val="00D6118B"/>
    <w:rsid w:val="00D61254"/>
    <w:rsid w:val="00D70C7A"/>
    <w:rsid w:val="00D711E3"/>
    <w:rsid w:val="00D72A29"/>
    <w:rsid w:val="00D834E5"/>
    <w:rsid w:val="00D84B87"/>
    <w:rsid w:val="00D96C9C"/>
    <w:rsid w:val="00DA10A8"/>
    <w:rsid w:val="00DA2B3A"/>
    <w:rsid w:val="00DB123A"/>
    <w:rsid w:val="00DB1E08"/>
    <w:rsid w:val="00DB28D3"/>
    <w:rsid w:val="00DB2973"/>
    <w:rsid w:val="00DB2FCD"/>
    <w:rsid w:val="00DC0789"/>
    <w:rsid w:val="00DC0FBA"/>
    <w:rsid w:val="00DC1B56"/>
    <w:rsid w:val="00DC20CC"/>
    <w:rsid w:val="00DC2129"/>
    <w:rsid w:val="00DC6570"/>
    <w:rsid w:val="00DD1AFF"/>
    <w:rsid w:val="00DD265C"/>
    <w:rsid w:val="00DD3703"/>
    <w:rsid w:val="00DE5528"/>
    <w:rsid w:val="00DE66D9"/>
    <w:rsid w:val="00DF15E7"/>
    <w:rsid w:val="00DF25C3"/>
    <w:rsid w:val="00DF5CFF"/>
    <w:rsid w:val="00DF72BB"/>
    <w:rsid w:val="00E04062"/>
    <w:rsid w:val="00E063C6"/>
    <w:rsid w:val="00E11284"/>
    <w:rsid w:val="00E139CA"/>
    <w:rsid w:val="00E2003B"/>
    <w:rsid w:val="00E26887"/>
    <w:rsid w:val="00E279D8"/>
    <w:rsid w:val="00E30092"/>
    <w:rsid w:val="00E319B1"/>
    <w:rsid w:val="00E31B5F"/>
    <w:rsid w:val="00E327A6"/>
    <w:rsid w:val="00E3496D"/>
    <w:rsid w:val="00E34D84"/>
    <w:rsid w:val="00E3684F"/>
    <w:rsid w:val="00E47D3B"/>
    <w:rsid w:val="00E5492F"/>
    <w:rsid w:val="00E572B1"/>
    <w:rsid w:val="00E60456"/>
    <w:rsid w:val="00E6369A"/>
    <w:rsid w:val="00E70A86"/>
    <w:rsid w:val="00E73E50"/>
    <w:rsid w:val="00E777EC"/>
    <w:rsid w:val="00E80FCD"/>
    <w:rsid w:val="00E81B94"/>
    <w:rsid w:val="00E877E9"/>
    <w:rsid w:val="00E92E6F"/>
    <w:rsid w:val="00EA2226"/>
    <w:rsid w:val="00EA7DB0"/>
    <w:rsid w:val="00EA7F2F"/>
    <w:rsid w:val="00EB576F"/>
    <w:rsid w:val="00EB5E16"/>
    <w:rsid w:val="00EB6590"/>
    <w:rsid w:val="00EC00DE"/>
    <w:rsid w:val="00EC21DF"/>
    <w:rsid w:val="00EC30E1"/>
    <w:rsid w:val="00EC3436"/>
    <w:rsid w:val="00EC66BB"/>
    <w:rsid w:val="00ED08B7"/>
    <w:rsid w:val="00ED172A"/>
    <w:rsid w:val="00EE01DC"/>
    <w:rsid w:val="00EE72BC"/>
    <w:rsid w:val="00EF6F97"/>
    <w:rsid w:val="00F04A93"/>
    <w:rsid w:val="00F06FF9"/>
    <w:rsid w:val="00F14AB3"/>
    <w:rsid w:val="00F14BEC"/>
    <w:rsid w:val="00F224B7"/>
    <w:rsid w:val="00F225C5"/>
    <w:rsid w:val="00F237A0"/>
    <w:rsid w:val="00F2587A"/>
    <w:rsid w:val="00F31FEE"/>
    <w:rsid w:val="00F33470"/>
    <w:rsid w:val="00F34816"/>
    <w:rsid w:val="00F34E02"/>
    <w:rsid w:val="00F3715D"/>
    <w:rsid w:val="00F37A10"/>
    <w:rsid w:val="00F420C8"/>
    <w:rsid w:val="00F42A4C"/>
    <w:rsid w:val="00F526BD"/>
    <w:rsid w:val="00F54A5C"/>
    <w:rsid w:val="00F634A1"/>
    <w:rsid w:val="00F70324"/>
    <w:rsid w:val="00F76BD1"/>
    <w:rsid w:val="00F7745D"/>
    <w:rsid w:val="00F85023"/>
    <w:rsid w:val="00F91180"/>
    <w:rsid w:val="00FB4D29"/>
    <w:rsid w:val="00FB68AF"/>
    <w:rsid w:val="00FB7512"/>
    <w:rsid w:val="00FC22B5"/>
    <w:rsid w:val="00FC3A90"/>
    <w:rsid w:val="00FC4849"/>
    <w:rsid w:val="00FD6584"/>
    <w:rsid w:val="00FD7547"/>
    <w:rsid w:val="00FE287B"/>
    <w:rsid w:val="00FE6B50"/>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4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6A743B"/>
    <w:pPr>
      <w:tabs>
        <w:tab w:val="left" w:pos="1134"/>
        <w:tab w:val="right" w:leader="dot" w:pos="9060"/>
      </w:tabs>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5D2663"/>
    <w:pPr>
      <w:widowControl/>
      <w:numPr>
        <w:numId w:val="1"/>
      </w:numPr>
      <w:ind w:left="567" w:hanging="567"/>
    </w:pPr>
    <w:rPr>
      <w:rFonts w:cs="Arial"/>
      <w:lang w:bidi="ar-SA"/>
    </w:rPr>
  </w:style>
  <w:style w:type="character" w:customStyle="1" w:styleId="FSBullet1Char">
    <w:name w:val="FSBullet 1 Char"/>
    <w:link w:val="FSBullet1"/>
    <w:uiPriority w:val="6"/>
    <w:rsid w:val="00511B93"/>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FSBullet">
    <w:name w:val="FS Bullet"/>
    <w:basedOn w:val="Normal"/>
    <w:next w:val="Normal"/>
    <w:link w:val="FSBulletChar"/>
    <w:rsid w:val="00E34D84"/>
    <w:pPr>
      <w:ind w:left="567" w:hanging="567"/>
    </w:pPr>
    <w:rPr>
      <w:rFonts w:cs="Arial"/>
      <w:lang w:val="en-AU"/>
    </w:rPr>
  </w:style>
  <w:style w:type="character" w:customStyle="1" w:styleId="FSBulletChar">
    <w:name w:val="FS Bullet Char"/>
    <w:basedOn w:val="DefaultParagraphFont"/>
    <w:link w:val="FSBullet"/>
    <w:rsid w:val="00E34D84"/>
    <w:rPr>
      <w:rFonts w:ascii="Arial" w:hAnsi="Arial" w:cs="Arial"/>
      <w:sz w:val="22"/>
      <w:szCs w:val="24"/>
      <w:lang w:val="en-AU" w:eastAsia="en-US" w:bidi="en-US"/>
    </w:rPr>
  </w:style>
  <w:style w:type="paragraph" w:customStyle="1" w:styleId="AARBullet">
    <w:name w:val="AAR Bullet"/>
    <w:basedOn w:val="Normal"/>
    <w:rsid w:val="006377DE"/>
    <w:pPr>
      <w:widowControl/>
      <w:numPr>
        <w:numId w:val="5"/>
      </w:numPr>
      <w:spacing w:before="60" w:after="60"/>
    </w:pPr>
    <w:rPr>
      <w:rFonts w:cs="Arial"/>
      <w:sz w:val="20"/>
      <w:lang w:val="en-AU" w:bidi="ar-SA"/>
    </w:rPr>
  </w:style>
  <w:style w:type="paragraph" w:customStyle="1" w:styleId="AARTableText">
    <w:name w:val="AAR Table Text"/>
    <w:basedOn w:val="Normal"/>
    <w:rsid w:val="006377DE"/>
    <w:pPr>
      <w:widowControl/>
      <w:spacing w:before="60" w:after="60"/>
    </w:pPr>
    <w:rPr>
      <w:rFonts w:cs="Arial"/>
      <w:sz w:val="20"/>
      <w:szCs w:val="20"/>
      <w:lang w:val="en-AU" w:bidi="ar-SA"/>
    </w:rPr>
  </w:style>
  <w:style w:type="paragraph" w:styleId="ListParagraph">
    <w:name w:val="List Paragraph"/>
    <w:basedOn w:val="Normal"/>
    <w:uiPriority w:val="34"/>
    <w:rsid w:val="004601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6A743B"/>
    <w:pPr>
      <w:tabs>
        <w:tab w:val="left" w:pos="1134"/>
        <w:tab w:val="right" w:leader="dot" w:pos="9060"/>
      </w:tabs>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5D2663"/>
    <w:pPr>
      <w:widowControl/>
      <w:numPr>
        <w:numId w:val="1"/>
      </w:numPr>
      <w:ind w:left="567" w:hanging="567"/>
    </w:pPr>
    <w:rPr>
      <w:rFonts w:cs="Arial"/>
      <w:lang w:bidi="ar-SA"/>
    </w:rPr>
  </w:style>
  <w:style w:type="character" w:customStyle="1" w:styleId="FSBullet1Char">
    <w:name w:val="FSBullet 1 Char"/>
    <w:link w:val="FSBullet1"/>
    <w:uiPriority w:val="6"/>
    <w:rsid w:val="00511B93"/>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FSBullet">
    <w:name w:val="FS Bullet"/>
    <w:basedOn w:val="Normal"/>
    <w:next w:val="Normal"/>
    <w:link w:val="FSBulletChar"/>
    <w:rsid w:val="00E34D84"/>
    <w:pPr>
      <w:ind w:left="567" w:hanging="567"/>
    </w:pPr>
    <w:rPr>
      <w:rFonts w:cs="Arial"/>
      <w:lang w:val="en-AU"/>
    </w:rPr>
  </w:style>
  <w:style w:type="character" w:customStyle="1" w:styleId="FSBulletChar">
    <w:name w:val="FS Bullet Char"/>
    <w:basedOn w:val="DefaultParagraphFont"/>
    <w:link w:val="FSBullet"/>
    <w:rsid w:val="00E34D84"/>
    <w:rPr>
      <w:rFonts w:ascii="Arial" w:hAnsi="Arial" w:cs="Arial"/>
      <w:sz w:val="22"/>
      <w:szCs w:val="24"/>
      <w:lang w:val="en-AU" w:eastAsia="en-US" w:bidi="en-US"/>
    </w:rPr>
  </w:style>
  <w:style w:type="paragraph" w:customStyle="1" w:styleId="AARBullet">
    <w:name w:val="AAR Bullet"/>
    <w:basedOn w:val="Normal"/>
    <w:rsid w:val="006377DE"/>
    <w:pPr>
      <w:widowControl/>
      <w:numPr>
        <w:numId w:val="5"/>
      </w:numPr>
      <w:spacing w:before="60" w:after="60"/>
    </w:pPr>
    <w:rPr>
      <w:rFonts w:cs="Arial"/>
      <w:sz w:val="20"/>
      <w:lang w:val="en-AU" w:bidi="ar-SA"/>
    </w:rPr>
  </w:style>
  <w:style w:type="paragraph" w:customStyle="1" w:styleId="AARTableText">
    <w:name w:val="AAR Table Text"/>
    <w:basedOn w:val="Normal"/>
    <w:rsid w:val="006377DE"/>
    <w:pPr>
      <w:widowControl/>
      <w:spacing w:before="60" w:after="60"/>
    </w:pPr>
    <w:rPr>
      <w:rFonts w:cs="Arial"/>
      <w:sz w:val="20"/>
      <w:szCs w:val="20"/>
      <w:lang w:val="en-AU" w:bidi="ar-SA"/>
    </w:rPr>
  </w:style>
  <w:style w:type="paragraph" w:styleId="ListParagraph">
    <w:name w:val="List Paragraph"/>
    <w:basedOn w:val="Normal"/>
    <w:uiPriority w:val="34"/>
    <w:rsid w:val="00460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133303688">
      <w:bodyDiv w:val="1"/>
      <w:marLeft w:val="0"/>
      <w:marRight w:val="0"/>
      <w:marTop w:val="0"/>
      <w:marBottom w:val="0"/>
      <w:divBdr>
        <w:top w:val="none" w:sz="0" w:space="0" w:color="auto"/>
        <w:left w:val="none" w:sz="0" w:space="0" w:color="auto"/>
        <w:bottom w:val="none" w:sz="0" w:space="0" w:color="auto"/>
        <w:right w:val="none" w:sz="0" w:space="0" w:color="auto"/>
      </w:divBdr>
      <w:divsChild>
        <w:div w:id="1724871174">
          <w:marLeft w:val="0"/>
          <w:marRight w:val="0"/>
          <w:marTop w:val="0"/>
          <w:marBottom w:val="0"/>
          <w:divBdr>
            <w:top w:val="none" w:sz="0" w:space="0" w:color="auto"/>
            <w:left w:val="none" w:sz="0" w:space="0" w:color="auto"/>
            <w:bottom w:val="none" w:sz="0" w:space="0" w:color="auto"/>
            <w:right w:val="none" w:sz="0" w:space="0" w:color="auto"/>
          </w:divBdr>
          <w:divsChild>
            <w:div w:id="1354574033">
              <w:marLeft w:val="0"/>
              <w:marRight w:val="0"/>
              <w:marTop w:val="0"/>
              <w:marBottom w:val="0"/>
              <w:divBdr>
                <w:top w:val="none" w:sz="0" w:space="0" w:color="auto"/>
                <w:left w:val="none" w:sz="0" w:space="0" w:color="auto"/>
                <w:bottom w:val="none" w:sz="0" w:space="0" w:color="auto"/>
                <w:right w:val="none" w:sz="0" w:space="0" w:color="auto"/>
              </w:divBdr>
              <w:divsChild>
                <w:div w:id="2122145624">
                  <w:marLeft w:val="0"/>
                  <w:marRight w:val="0"/>
                  <w:marTop w:val="0"/>
                  <w:marBottom w:val="0"/>
                  <w:divBdr>
                    <w:top w:val="none" w:sz="0" w:space="0" w:color="auto"/>
                    <w:left w:val="none" w:sz="0" w:space="0" w:color="auto"/>
                    <w:bottom w:val="none" w:sz="0" w:space="0" w:color="auto"/>
                    <w:right w:val="none" w:sz="0" w:space="0" w:color="auto"/>
                  </w:divBdr>
                  <w:divsChild>
                    <w:div w:id="875047405">
                      <w:marLeft w:val="0"/>
                      <w:marRight w:val="0"/>
                      <w:marTop w:val="0"/>
                      <w:marBottom w:val="0"/>
                      <w:divBdr>
                        <w:top w:val="none" w:sz="0" w:space="0" w:color="auto"/>
                        <w:left w:val="none" w:sz="0" w:space="0" w:color="auto"/>
                        <w:bottom w:val="none" w:sz="0" w:space="0" w:color="auto"/>
                        <w:right w:val="none" w:sz="0" w:space="0" w:color="auto"/>
                      </w:divBdr>
                      <w:divsChild>
                        <w:div w:id="554435789">
                          <w:marLeft w:val="0"/>
                          <w:marRight w:val="0"/>
                          <w:marTop w:val="0"/>
                          <w:marBottom w:val="0"/>
                          <w:divBdr>
                            <w:top w:val="none" w:sz="0" w:space="0" w:color="auto"/>
                            <w:left w:val="none" w:sz="0" w:space="0" w:color="auto"/>
                            <w:bottom w:val="none" w:sz="0" w:space="0" w:color="auto"/>
                            <w:right w:val="none" w:sz="0" w:space="0" w:color="auto"/>
                          </w:divBdr>
                          <w:divsChild>
                            <w:div w:id="1558662233">
                              <w:marLeft w:val="0"/>
                              <w:marRight w:val="0"/>
                              <w:marTop w:val="0"/>
                              <w:marBottom w:val="0"/>
                              <w:divBdr>
                                <w:top w:val="none" w:sz="0" w:space="0" w:color="auto"/>
                                <w:left w:val="none" w:sz="0" w:space="0" w:color="auto"/>
                                <w:bottom w:val="none" w:sz="0" w:space="0" w:color="auto"/>
                                <w:right w:val="none" w:sz="0" w:space="0" w:color="auto"/>
                              </w:divBdr>
                              <w:divsChild>
                                <w:div w:id="328557792">
                                  <w:marLeft w:val="0"/>
                                  <w:marRight w:val="0"/>
                                  <w:marTop w:val="0"/>
                                  <w:marBottom w:val="0"/>
                                  <w:divBdr>
                                    <w:top w:val="none" w:sz="0" w:space="0" w:color="auto"/>
                                    <w:left w:val="none" w:sz="0" w:space="0" w:color="auto"/>
                                    <w:bottom w:val="none" w:sz="0" w:space="0" w:color="auto"/>
                                    <w:right w:val="none" w:sz="0" w:space="0" w:color="auto"/>
                                  </w:divBdr>
                                </w:div>
                                <w:div w:id="1512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760415754">
      <w:bodyDiv w:val="1"/>
      <w:marLeft w:val="0"/>
      <w:marRight w:val="0"/>
      <w:marTop w:val="0"/>
      <w:marBottom w:val="0"/>
      <w:divBdr>
        <w:top w:val="none" w:sz="0" w:space="0" w:color="auto"/>
        <w:left w:val="none" w:sz="0" w:space="0" w:color="auto"/>
        <w:bottom w:val="none" w:sz="0" w:space="0" w:color="auto"/>
        <w:right w:val="none" w:sz="0" w:space="0" w:color="auto"/>
      </w:divBdr>
    </w:div>
    <w:div w:id="782305505">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8689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foodstandards.gov.au/code/applications/Pages/A1124DHAAlgalOilinInfantFormula.aspx"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ww.foodstandards.gov.au/code/proposals/Pages/P1028.aspx"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foodstandards.gov.au/code/proposals/Pages/proposalp93reviewofinfantformula/Default.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oodstandards.gov.au/code/proposals/Pages/P1028.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oodstandards.gov.au/code/fofr/fofrpolicy/documents/Novel_Foods_policy_guidance.pdf" TargetMode="External"/><Relationship Id="rId28" Type="http://schemas.openxmlformats.org/officeDocument/2006/relationships/theme" Target="theme/theme1.xml"/><Relationship Id="rId15" Type="http://schemas.openxmlformats.org/officeDocument/2006/relationships/footer" Target="footer1.xml"/><Relationship Id="rId23" Type="http://schemas.openxmlformats.org/officeDocument/2006/relationships/hyperlink" Target="http://www.foodstandards.gov.au/code/fofr/fofrpolicy/pages/default.aspx" TargetMode="External"/><Relationship Id="rId10" Type="http://schemas.openxmlformats.org/officeDocument/2006/relationships/settings" Target="settings.xml"/><Relationship Id="rId19" Type="http://schemas.openxmlformats.org/officeDocument/2006/relationships/hyperlink" Target="http://www.foodstandards.gov.au/code/proposals/Pages/P1024.aspx" TargetMode="External"/><Relationship Id="rId27" Type="http://schemas.openxmlformats.org/officeDocument/2006/relationships/fontTable" Target="fontTable.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www.foodstandards.gov.au/code/Proposal%20P9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proposals/Pages/P1028.aspx" TargetMode="External"/><Relationship Id="rId2" Type="http://schemas.openxmlformats.org/officeDocument/2006/relationships/hyperlink" Target="http://www.foodstandards.gov.au/code/proposals/Pages/P1024.aspx" TargetMode="External"/><Relationship Id="rId1" Type="http://schemas.openxmlformats.org/officeDocument/2006/relationships/hyperlink" Target="http://www.foodstandards.gov.au/code/applications/Pages/A1124DHAAlgalOilinInfantFormula.aspx" TargetMode="External"/><Relationship Id="rId6" Type="http://schemas.openxmlformats.org/officeDocument/2006/relationships/hyperlink" Target="http://www.foodstandards.gov.au/code/fofr/fofrpolicy/pages/default.aspx" TargetMode="External"/><Relationship Id="rId5" Type="http://schemas.openxmlformats.org/officeDocument/2006/relationships/hyperlink" Target="http://www.foodstandards.gov.au/code/fofr/fofrpolicy/pages/default.aspx" TargetMode="External"/><Relationship Id="rId4" Type="http://schemas.openxmlformats.org/officeDocument/2006/relationships/hyperlink" Target="http://www.foodstandards.gov.au/code/proposals/Pages/proposalp93reviewofinfantformula/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16D64-61E5-48A2-8E40-62425FC7AB08}"/>
</file>

<file path=customXml/itemProps2.xml><?xml version="1.0" encoding="utf-8"?>
<ds:datastoreItem xmlns:ds="http://schemas.openxmlformats.org/officeDocument/2006/customXml" ds:itemID="{68D9D72E-05E7-4646-8629-CF1CF623D59A}"/>
</file>

<file path=customXml/itemProps3.xml><?xml version="1.0" encoding="utf-8"?>
<ds:datastoreItem xmlns:ds="http://schemas.openxmlformats.org/officeDocument/2006/customXml" ds:itemID="{04D4D52C-02C8-4A66-978A-86D8AE4D289A}"/>
</file>

<file path=customXml/itemProps4.xml><?xml version="1.0" encoding="utf-8"?>
<ds:datastoreItem xmlns:ds="http://schemas.openxmlformats.org/officeDocument/2006/customXml" ds:itemID="{D255DF05-52BD-4533-9157-CD394FA9C752}">
  <ds:schemaRefs>
    <ds:schemaRef ds:uri="Microsoft.SharePoint.Taxonomy.ContentTypeSync"/>
  </ds:schemaRefs>
</ds:datastoreItem>
</file>

<file path=customXml/itemProps5.xml><?xml version="1.0" encoding="utf-8"?>
<ds:datastoreItem xmlns:ds="http://schemas.openxmlformats.org/officeDocument/2006/customXml" ds:itemID="{CB86B4AB-B665-4CBC-AD7A-3104F20E7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2C4397-B966-40DF-B614-13318602E363}"/>
</file>

<file path=docProps/app.xml><?xml version="1.0" encoding="utf-8"?>
<Properties xmlns="http://schemas.openxmlformats.org/officeDocument/2006/extended-properties" xmlns:vt="http://schemas.openxmlformats.org/officeDocument/2006/docPropsVTypes">
  <Template>Normal.dotm</Template>
  <TotalTime>43</TotalTime>
  <Pages>15</Pages>
  <Words>5155</Words>
  <Characters>29387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alternative DHA-rich oil in infant formula</vt:lpstr>
    </vt:vector>
  </TitlesOfParts>
  <Company>ANZFA</Company>
  <LinksUpToDate>false</LinksUpToDate>
  <CharactersWithSpaces>34474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A1124 DHA Algal Oil in Infant Formula</dc:title>
  <dc:creator>Judy Wood</dc:creator>
  <cp:keywords/>
  <cp:lastModifiedBy>humphc</cp:lastModifiedBy>
  <cp:revision>13</cp:revision>
  <cp:lastPrinted>2017-01-11T23:32:00Z</cp:lastPrinted>
  <dcterms:created xsi:type="dcterms:W3CDTF">2017-03-08T02:44:00Z</dcterms:created>
  <dcterms:modified xsi:type="dcterms:W3CDTF">2017-03-14T05:46:00Z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_dlc_DocIdItemGuid">
    <vt:lpwstr>44683302-1b9e-4f6a-a390-710c51d4528e</vt:lpwstr>
  </property>
  <property fmtid="{D5CDD505-2E9C-101B-9397-08002B2CF9AE}" pid="4" name="DisposalClass">
    <vt:lpwstr/>
  </property>
  <property fmtid="{D5CDD505-2E9C-101B-9397-08002B2CF9AE}" pid="5" name="BCS_">
    <vt:lpwstr>40;#Evaluation|43bd8487-b9f6-4055-946c-a118d364275d</vt:lpwstr>
  </property>
</Properties>
</file>